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02" w:rsidRPr="00666B95" w:rsidRDefault="00B86702" w:rsidP="00B86702">
      <w:pPr>
        <w:spacing w:line="276" w:lineRule="auto"/>
        <w:ind w:firstLine="284"/>
        <w:jc w:val="both"/>
        <w:rPr>
          <w:rFonts w:ascii="Arial" w:hAnsi="Arial" w:cs="Arial"/>
          <w:noProof/>
          <w:lang w:val="fr-CA"/>
        </w:rPr>
      </w:pPr>
      <w:bookmarkStart w:id="0" w:name="_GoBack"/>
      <w:bookmarkEnd w:id="0"/>
    </w:p>
    <w:p w:rsidR="00B86702" w:rsidRPr="00666B95" w:rsidRDefault="00B86702" w:rsidP="00B86702">
      <w:pPr>
        <w:tabs>
          <w:tab w:val="left" w:pos="3168"/>
        </w:tabs>
        <w:spacing w:line="276" w:lineRule="auto"/>
        <w:ind w:firstLine="284"/>
        <w:jc w:val="both"/>
        <w:rPr>
          <w:rFonts w:ascii="Arial" w:hAnsi="Arial" w:cs="Arial"/>
          <w:noProof/>
          <w:lang w:val="fr-CA"/>
        </w:rPr>
      </w:pPr>
      <w:r w:rsidRPr="00666B95">
        <w:rPr>
          <w:rFonts w:ascii="Arial" w:hAnsi="Arial" w:cs="Arial"/>
          <w:noProof/>
          <w:lang w:val="fr-CA"/>
        </w:rPr>
        <w:tab/>
      </w:r>
    </w:p>
    <w:tbl>
      <w:tblPr>
        <w:tblStyle w:val="TableGrid"/>
        <w:tblW w:w="0" w:type="auto"/>
        <w:tblInd w:w="534" w:type="dxa"/>
        <w:shd w:val="clear" w:color="auto" w:fill="F4B083" w:themeFill="accent2" w:themeFillTint="99"/>
        <w:tblLook w:val="04A0" w:firstRow="1" w:lastRow="0" w:firstColumn="1" w:lastColumn="0" w:noHBand="0" w:noVBand="1"/>
      </w:tblPr>
      <w:tblGrid>
        <w:gridCol w:w="8108"/>
      </w:tblGrid>
      <w:tr w:rsidR="00B86702" w:rsidRPr="00666B95" w:rsidTr="00824F7E">
        <w:tc>
          <w:tcPr>
            <w:tcW w:w="8108" w:type="dxa"/>
            <w:shd w:val="clear" w:color="auto" w:fill="F4B083" w:themeFill="accent2" w:themeFillTint="99"/>
          </w:tcPr>
          <w:p w:rsidR="00B86702" w:rsidRDefault="00B86702" w:rsidP="00F07FDE">
            <w:pPr>
              <w:spacing w:line="276" w:lineRule="auto"/>
              <w:ind w:firstLine="30"/>
              <w:jc w:val="center"/>
              <w:rPr>
                <w:rFonts w:ascii="Arial" w:hAnsi="Arial" w:cs="Arial"/>
                <w:b/>
                <w:noProof/>
                <w:sz w:val="28"/>
                <w:szCs w:val="28"/>
                <w:lang w:val="fr-CA"/>
              </w:rPr>
            </w:pPr>
          </w:p>
          <w:p w:rsidR="00B86702" w:rsidRPr="007F2DE6" w:rsidRDefault="007F2DE6" w:rsidP="00F07FDE">
            <w:pPr>
              <w:spacing w:line="276" w:lineRule="auto"/>
              <w:ind w:firstLine="30"/>
              <w:jc w:val="center"/>
              <w:rPr>
                <w:rFonts w:ascii="Arial" w:hAnsi="Arial" w:cs="Arial"/>
                <w:b/>
                <w:noProof/>
                <w:sz w:val="28"/>
                <w:szCs w:val="28"/>
                <w:lang w:val="en-CA"/>
              </w:rPr>
            </w:pPr>
            <w:r w:rsidRPr="007F2DE6">
              <w:rPr>
                <w:rFonts w:ascii="Arial" w:hAnsi="Arial" w:cs="Arial"/>
                <w:b/>
                <w:noProof/>
                <w:sz w:val="28"/>
                <w:szCs w:val="28"/>
                <w:lang w:val="en-CA"/>
              </w:rPr>
              <w:t xml:space="preserve">Global trade </w:t>
            </w:r>
            <w:r w:rsidR="00953B48">
              <w:rPr>
                <w:rFonts w:ascii="Arial" w:hAnsi="Arial" w:cs="Arial"/>
                <w:b/>
                <w:noProof/>
                <w:sz w:val="28"/>
                <w:szCs w:val="28"/>
                <w:lang w:val="en-CA"/>
              </w:rPr>
              <w:t>facing</w:t>
            </w:r>
            <w:r w:rsidRPr="007F2DE6">
              <w:rPr>
                <w:rFonts w:ascii="Arial" w:hAnsi="Arial" w:cs="Arial"/>
                <w:b/>
                <w:noProof/>
                <w:sz w:val="28"/>
                <w:szCs w:val="28"/>
                <w:lang w:val="en-CA"/>
              </w:rPr>
              <w:t xml:space="preserve"> neo-mercantilism:</w:t>
            </w:r>
          </w:p>
          <w:p w:rsidR="007F2DE6" w:rsidRPr="007F2DE6" w:rsidRDefault="007F2DE6" w:rsidP="00F07FDE">
            <w:pPr>
              <w:spacing w:line="276" w:lineRule="auto"/>
              <w:ind w:firstLine="30"/>
              <w:jc w:val="center"/>
              <w:rPr>
                <w:rFonts w:ascii="Arial" w:hAnsi="Arial" w:cs="Arial"/>
                <w:b/>
                <w:noProof/>
                <w:sz w:val="28"/>
                <w:szCs w:val="28"/>
                <w:lang w:val="en-CA"/>
              </w:rPr>
            </w:pPr>
            <w:r w:rsidRPr="007F2DE6">
              <w:rPr>
                <w:rFonts w:ascii="Arial" w:hAnsi="Arial" w:cs="Arial"/>
                <w:b/>
                <w:noProof/>
                <w:sz w:val="28"/>
                <w:szCs w:val="28"/>
                <w:lang w:val="en-CA"/>
              </w:rPr>
              <w:t>cultural issues</w:t>
            </w:r>
          </w:p>
          <w:p w:rsidR="007F2DE6" w:rsidRPr="00B86702" w:rsidRDefault="007F2DE6" w:rsidP="00F07FDE">
            <w:pPr>
              <w:spacing w:line="276" w:lineRule="auto"/>
              <w:ind w:firstLine="30"/>
              <w:jc w:val="center"/>
              <w:rPr>
                <w:rFonts w:ascii="Arial" w:hAnsi="Arial" w:cs="Arial"/>
                <w:noProof/>
                <w:sz w:val="28"/>
                <w:szCs w:val="28"/>
                <w:lang w:val="en-CA"/>
              </w:rPr>
            </w:pPr>
          </w:p>
          <w:p w:rsidR="00B86702" w:rsidRPr="000F5D41" w:rsidRDefault="00631533" w:rsidP="00F07FDE">
            <w:pPr>
              <w:spacing w:line="276" w:lineRule="auto"/>
              <w:ind w:firstLine="30"/>
              <w:jc w:val="center"/>
              <w:rPr>
                <w:rFonts w:ascii="Arial" w:hAnsi="Arial" w:cs="Arial"/>
                <w:noProof/>
                <w:lang w:val="en-CA"/>
              </w:rPr>
            </w:pPr>
            <w:r w:rsidRPr="000F5D41">
              <w:rPr>
                <w:rFonts w:ascii="Arial" w:hAnsi="Arial" w:cs="Arial"/>
                <w:noProof/>
                <w:lang w:val="en-CA"/>
              </w:rPr>
              <w:t>by</w:t>
            </w:r>
            <w:r w:rsidR="00B86702" w:rsidRPr="000F5D41">
              <w:rPr>
                <w:rFonts w:ascii="Arial" w:hAnsi="Arial" w:cs="Arial"/>
                <w:noProof/>
                <w:lang w:val="en-CA"/>
              </w:rPr>
              <w:t xml:space="preserve"> </w:t>
            </w:r>
            <w:r w:rsidR="003D68BC">
              <w:rPr>
                <w:rFonts w:ascii="Arial" w:hAnsi="Arial" w:cs="Arial"/>
                <w:noProof/>
                <w:lang w:val="en-CA"/>
              </w:rPr>
              <w:t xml:space="preserve">Dr. </w:t>
            </w:r>
            <w:r w:rsidR="00B86702" w:rsidRPr="000F5D41">
              <w:rPr>
                <w:rFonts w:ascii="Arial" w:hAnsi="Arial" w:cs="Arial"/>
                <w:noProof/>
                <w:lang w:val="en-CA"/>
              </w:rPr>
              <w:t xml:space="preserve">Antonios Vlassis </w:t>
            </w:r>
          </w:p>
          <w:p w:rsidR="00B86702" w:rsidRPr="001860AB" w:rsidRDefault="00B86702" w:rsidP="00F07FDE">
            <w:pPr>
              <w:spacing w:line="276" w:lineRule="auto"/>
              <w:ind w:firstLine="30"/>
              <w:jc w:val="center"/>
              <w:rPr>
                <w:rFonts w:ascii="Arial" w:hAnsi="Arial" w:cs="Arial"/>
                <w:noProof/>
              </w:rPr>
            </w:pPr>
            <w:r w:rsidRPr="001860AB">
              <w:rPr>
                <w:rFonts w:ascii="Arial" w:hAnsi="Arial" w:cs="Arial"/>
                <w:noProof/>
              </w:rPr>
              <w:t>(Center for International Relations Studies-CEFIR, Université de Liège)</w:t>
            </w:r>
          </w:p>
          <w:p w:rsidR="00B86702" w:rsidRPr="001860AB" w:rsidRDefault="00B86702" w:rsidP="00F07FDE">
            <w:pPr>
              <w:spacing w:line="276" w:lineRule="auto"/>
              <w:ind w:firstLine="30"/>
              <w:jc w:val="center"/>
              <w:rPr>
                <w:rFonts w:ascii="Arial" w:hAnsi="Arial" w:cs="Arial"/>
                <w:noProof/>
              </w:rPr>
            </w:pPr>
          </w:p>
          <w:p w:rsidR="00B86702" w:rsidRPr="00A237BD" w:rsidRDefault="00B86702" w:rsidP="00F07FDE">
            <w:pPr>
              <w:spacing w:line="276" w:lineRule="auto"/>
              <w:ind w:firstLine="30"/>
              <w:jc w:val="center"/>
              <w:rPr>
                <w:rFonts w:ascii="Arial" w:hAnsi="Arial" w:cs="Arial"/>
                <w:b/>
                <w:noProof/>
                <w:lang w:val="fr-CA"/>
              </w:rPr>
            </w:pPr>
            <w:r>
              <w:rPr>
                <w:rFonts w:ascii="Arial" w:hAnsi="Arial" w:cs="Arial"/>
                <w:b/>
                <w:noProof/>
                <w:lang w:val="fr-CA"/>
              </w:rPr>
              <w:t>Analytical report</w:t>
            </w:r>
          </w:p>
          <w:p w:rsidR="00B86702" w:rsidRPr="00666B95" w:rsidRDefault="00631533" w:rsidP="00F07FDE">
            <w:pPr>
              <w:spacing w:line="276" w:lineRule="auto"/>
              <w:ind w:firstLine="30"/>
              <w:jc w:val="center"/>
              <w:rPr>
                <w:rFonts w:ascii="Arial" w:hAnsi="Arial" w:cs="Arial"/>
                <w:noProof/>
                <w:lang w:val="fr-CA"/>
              </w:rPr>
            </w:pPr>
            <w:r>
              <w:rPr>
                <w:rFonts w:ascii="Arial" w:hAnsi="Arial" w:cs="Arial"/>
                <w:noProof/>
                <w:lang w:val="fr-CA"/>
              </w:rPr>
              <w:t>April</w:t>
            </w:r>
            <w:r w:rsidR="00B86702" w:rsidRPr="00666B95">
              <w:rPr>
                <w:rFonts w:ascii="Arial" w:hAnsi="Arial" w:cs="Arial"/>
                <w:noProof/>
                <w:lang w:val="fr-CA"/>
              </w:rPr>
              <w:t xml:space="preserve"> 2020</w:t>
            </w:r>
          </w:p>
          <w:p w:rsidR="00B86702" w:rsidRPr="00666B95" w:rsidRDefault="00B86702" w:rsidP="00F07FDE">
            <w:pPr>
              <w:tabs>
                <w:tab w:val="left" w:pos="3168"/>
              </w:tabs>
              <w:spacing w:line="276" w:lineRule="auto"/>
              <w:jc w:val="both"/>
              <w:rPr>
                <w:rFonts w:ascii="Arial" w:hAnsi="Arial" w:cs="Arial"/>
                <w:noProof/>
                <w:lang w:val="fr-CA"/>
              </w:rPr>
            </w:pPr>
          </w:p>
        </w:tc>
      </w:tr>
    </w:tbl>
    <w:p w:rsidR="00B86702" w:rsidRDefault="00B86702" w:rsidP="00B86702">
      <w:pPr>
        <w:spacing w:line="276" w:lineRule="auto"/>
        <w:jc w:val="both"/>
        <w:rPr>
          <w:rFonts w:ascii="Arial" w:hAnsi="Arial" w:cs="Arial"/>
          <w:noProof/>
          <w:lang w:val="fr-CA"/>
        </w:rPr>
      </w:pPr>
    </w:p>
    <w:p w:rsidR="00B86702" w:rsidRPr="00631533" w:rsidRDefault="00631533" w:rsidP="00631533">
      <w:pPr>
        <w:spacing w:line="276" w:lineRule="auto"/>
        <w:ind w:left="426" w:right="713"/>
        <w:jc w:val="both"/>
        <w:rPr>
          <w:rFonts w:ascii="Arial" w:hAnsi="Arial" w:cs="Arial"/>
          <w:noProof/>
          <w:sz w:val="22"/>
          <w:szCs w:val="22"/>
          <w:lang w:val="en-CA"/>
        </w:rPr>
      </w:pPr>
      <w:r w:rsidRPr="00631533">
        <w:rPr>
          <w:rFonts w:ascii="Arial" w:hAnsi="Arial" w:cs="Arial"/>
          <w:noProof/>
          <w:sz w:val="22"/>
          <w:szCs w:val="22"/>
          <w:lang w:val="en-CA"/>
        </w:rPr>
        <w:t xml:space="preserve">Since March 2018, the Sino-American trade showdown has resulted in tariff escalation rooted both in China’s mercantilist policy and in the nationalist and unilateralist shift taken by the Trump administration. The trade and political confrontation between the two great economic powers has repercussions on a large number of international affairs, as revealed </w:t>
      </w:r>
      <w:r>
        <w:rPr>
          <w:rFonts w:ascii="Arial" w:hAnsi="Arial" w:cs="Arial"/>
          <w:noProof/>
          <w:sz w:val="22"/>
          <w:szCs w:val="22"/>
          <w:lang w:val="en-CA"/>
        </w:rPr>
        <w:t>by</w:t>
      </w:r>
      <w:r w:rsidRPr="00631533">
        <w:rPr>
          <w:rFonts w:ascii="Arial" w:hAnsi="Arial" w:cs="Arial"/>
          <w:noProof/>
          <w:sz w:val="22"/>
          <w:szCs w:val="22"/>
          <w:lang w:val="en-CA"/>
        </w:rPr>
        <w:t xml:space="preserve"> the external trade action of the European Union</w:t>
      </w:r>
      <w:r w:rsidR="00DB1402">
        <w:rPr>
          <w:rFonts w:ascii="Arial" w:hAnsi="Arial" w:cs="Arial"/>
          <w:noProof/>
          <w:sz w:val="22"/>
          <w:szCs w:val="22"/>
          <w:lang w:val="en-CA"/>
        </w:rPr>
        <w:t xml:space="preserve"> (EU) </w:t>
      </w:r>
      <w:r w:rsidRPr="00631533">
        <w:rPr>
          <w:rFonts w:ascii="Arial" w:hAnsi="Arial" w:cs="Arial"/>
          <w:noProof/>
          <w:sz w:val="22"/>
          <w:szCs w:val="22"/>
          <w:lang w:val="en-CA"/>
        </w:rPr>
        <w:t xml:space="preserve">and the place of culture in new economic partnerships. </w:t>
      </w:r>
    </w:p>
    <w:p w:rsidR="00FC7B28" w:rsidRDefault="0006305E" w:rsidP="00B86702">
      <w:pPr>
        <w:spacing w:beforeLines="120" w:before="288" w:afterLines="120" w:after="288" w:line="276" w:lineRule="auto"/>
        <w:ind w:left="425" w:right="714"/>
        <w:jc w:val="both"/>
        <w:rPr>
          <w:rFonts w:ascii="Arial" w:hAnsi="Arial" w:cs="Arial"/>
          <w:b/>
          <w:sz w:val="22"/>
          <w:szCs w:val="22"/>
          <w:lang w:val="en-CA"/>
        </w:rPr>
      </w:pPr>
      <w:r>
        <w:rPr>
          <w:rFonts w:ascii="Arial" w:hAnsi="Arial" w:cs="Arial"/>
          <w:b/>
          <w:sz w:val="22"/>
          <w:szCs w:val="22"/>
          <w:lang w:val="en-CA"/>
        </w:rPr>
        <w:t>The place of culture in the EU trade negotiations</w:t>
      </w:r>
    </w:p>
    <w:p w:rsidR="00FC7B28" w:rsidRDefault="0006305E" w:rsidP="00B86702">
      <w:pPr>
        <w:spacing w:beforeLines="120" w:before="288" w:afterLines="120" w:after="288" w:line="276" w:lineRule="auto"/>
        <w:ind w:left="425" w:right="714"/>
        <w:jc w:val="both"/>
        <w:rPr>
          <w:rFonts w:ascii="Arial" w:hAnsi="Arial" w:cs="Arial"/>
          <w:sz w:val="22"/>
          <w:szCs w:val="22"/>
          <w:lang w:val="en-CA"/>
        </w:rPr>
      </w:pPr>
      <w:r w:rsidRPr="0006305E">
        <w:rPr>
          <w:rFonts w:ascii="Arial" w:hAnsi="Arial" w:cs="Arial"/>
          <w:sz w:val="22"/>
          <w:szCs w:val="22"/>
          <w:lang w:val="en-CA"/>
        </w:rPr>
        <w:t xml:space="preserve">In the context of a neo-mercantilist confrontation </w:t>
      </w:r>
      <w:r>
        <w:rPr>
          <w:rFonts w:ascii="Arial" w:hAnsi="Arial" w:cs="Arial"/>
          <w:sz w:val="22"/>
          <w:szCs w:val="22"/>
          <w:lang w:val="en-CA"/>
        </w:rPr>
        <w:t>between</w:t>
      </w:r>
      <w:r w:rsidRPr="0006305E">
        <w:rPr>
          <w:rFonts w:ascii="Arial" w:hAnsi="Arial" w:cs="Arial"/>
          <w:sz w:val="22"/>
          <w:szCs w:val="22"/>
          <w:lang w:val="en-CA"/>
        </w:rPr>
        <w:t xml:space="preserve"> the United States and China, the promotion of an open international economy remains at the</w:t>
      </w:r>
      <w:r w:rsidR="00C320FE">
        <w:rPr>
          <w:rFonts w:ascii="Arial" w:hAnsi="Arial" w:cs="Arial"/>
          <w:sz w:val="22"/>
          <w:szCs w:val="22"/>
          <w:lang w:val="en-CA"/>
        </w:rPr>
        <w:t xml:space="preserve"> core</w:t>
      </w:r>
      <w:r w:rsidRPr="0006305E">
        <w:rPr>
          <w:rFonts w:ascii="Arial" w:hAnsi="Arial" w:cs="Arial"/>
          <w:sz w:val="22"/>
          <w:szCs w:val="22"/>
          <w:lang w:val="en-CA"/>
        </w:rPr>
        <w:t xml:space="preserve"> of the </w:t>
      </w:r>
      <w:r w:rsidR="006D420C">
        <w:rPr>
          <w:rFonts w:ascii="Arial" w:hAnsi="Arial" w:cs="Arial"/>
          <w:sz w:val="22"/>
          <w:szCs w:val="22"/>
          <w:lang w:val="en-CA"/>
        </w:rPr>
        <w:t>E</w:t>
      </w:r>
      <w:r w:rsidRPr="0006305E">
        <w:rPr>
          <w:rFonts w:ascii="Arial" w:hAnsi="Arial" w:cs="Arial"/>
          <w:sz w:val="22"/>
          <w:szCs w:val="22"/>
          <w:lang w:val="en-CA"/>
        </w:rPr>
        <w:t xml:space="preserve">U trade policy and its ambitious agenda. The latter </w:t>
      </w:r>
      <w:r w:rsidR="00C320FE">
        <w:rPr>
          <w:rFonts w:ascii="Arial" w:hAnsi="Arial" w:cs="Arial"/>
          <w:sz w:val="22"/>
          <w:szCs w:val="22"/>
          <w:lang w:val="en-CA"/>
        </w:rPr>
        <w:t>favo</w:t>
      </w:r>
      <w:r w:rsidR="006D420C">
        <w:rPr>
          <w:rFonts w:ascii="Arial" w:hAnsi="Arial" w:cs="Arial"/>
          <w:sz w:val="22"/>
          <w:szCs w:val="22"/>
          <w:lang w:val="en-CA"/>
        </w:rPr>
        <w:t>u</w:t>
      </w:r>
      <w:r w:rsidR="00C320FE">
        <w:rPr>
          <w:rFonts w:ascii="Arial" w:hAnsi="Arial" w:cs="Arial"/>
          <w:sz w:val="22"/>
          <w:szCs w:val="22"/>
          <w:lang w:val="en-CA"/>
        </w:rPr>
        <w:t>rs</w:t>
      </w:r>
      <w:r w:rsidRPr="0006305E">
        <w:rPr>
          <w:rFonts w:ascii="Arial" w:hAnsi="Arial" w:cs="Arial"/>
          <w:sz w:val="22"/>
          <w:szCs w:val="22"/>
          <w:lang w:val="en-CA"/>
        </w:rPr>
        <w:t xml:space="preserve"> the multiplication of bilateral trade and investment partnerships with countries or regional groupings in Latin America, Asia, the Caribbean and the Pacific. </w:t>
      </w:r>
    </w:p>
    <w:p w:rsidR="0006305E" w:rsidRDefault="0006305E" w:rsidP="00B86702">
      <w:pPr>
        <w:spacing w:beforeLines="120" w:before="288" w:afterLines="120" w:after="288" w:line="276" w:lineRule="auto"/>
        <w:ind w:left="425" w:right="714"/>
        <w:jc w:val="both"/>
        <w:rPr>
          <w:rFonts w:ascii="Arial" w:hAnsi="Arial" w:cs="Arial"/>
          <w:sz w:val="22"/>
          <w:szCs w:val="22"/>
          <w:lang w:val="en-CA"/>
        </w:rPr>
      </w:pPr>
      <w:r w:rsidRPr="0006305E">
        <w:rPr>
          <w:rFonts w:ascii="Arial" w:hAnsi="Arial" w:cs="Arial"/>
          <w:sz w:val="22"/>
          <w:szCs w:val="22"/>
          <w:lang w:val="en-CA"/>
        </w:rPr>
        <w:t xml:space="preserve">Over the </w:t>
      </w:r>
      <w:r w:rsidR="00C320FE">
        <w:rPr>
          <w:rFonts w:ascii="Arial" w:hAnsi="Arial" w:cs="Arial"/>
          <w:sz w:val="22"/>
          <w:szCs w:val="22"/>
          <w:lang w:val="en-CA"/>
        </w:rPr>
        <w:t>last</w:t>
      </w:r>
      <w:r w:rsidRPr="0006305E">
        <w:rPr>
          <w:rFonts w:ascii="Arial" w:hAnsi="Arial" w:cs="Arial"/>
          <w:sz w:val="22"/>
          <w:szCs w:val="22"/>
          <w:lang w:val="en-CA"/>
        </w:rPr>
        <w:t xml:space="preserve"> decade, the EU has concluded a series of major bilateral or interregional preferential trade agreements with</w:t>
      </w:r>
      <w:r w:rsidR="00C320FE">
        <w:rPr>
          <w:rFonts w:ascii="Arial" w:hAnsi="Arial" w:cs="Arial"/>
          <w:sz w:val="22"/>
          <w:szCs w:val="22"/>
          <w:lang w:val="en-CA"/>
        </w:rPr>
        <w:t xml:space="preserve"> </w:t>
      </w:r>
      <w:r w:rsidRPr="0006305E">
        <w:rPr>
          <w:rFonts w:ascii="Arial" w:hAnsi="Arial" w:cs="Arial"/>
          <w:sz w:val="22"/>
          <w:szCs w:val="22"/>
          <w:lang w:val="en-CA"/>
        </w:rPr>
        <w:t>South Korea (2010), Central American countries (2012)</w:t>
      </w:r>
      <w:r w:rsidR="00C320FE">
        <w:rPr>
          <w:rStyle w:val="FootnoteReference"/>
          <w:rFonts w:ascii="Arial" w:hAnsi="Arial" w:cs="Arial"/>
          <w:sz w:val="22"/>
          <w:szCs w:val="22"/>
          <w:lang w:val="en-CA"/>
        </w:rPr>
        <w:footnoteReference w:id="1"/>
      </w:r>
      <w:r w:rsidRPr="0006305E">
        <w:rPr>
          <w:rFonts w:ascii="Arial" w:hAnsi="Arial" w:cs="Arial"/>
          <w:sz w:val="22"/>
          <w:szCs w:val="22"/>
          <w:lang w:val="en-CA"/>
        </w:rPr>
        <w:t>, Colombia, Ecuador and Peru (2014), Canada (2016), a group of Southern African Development Community countries (2016)</w:t>
      </w:r>
      <w:r w:rsidR="00C320FE">
        <w:rPr>
          <w:rStyle w:val="FootnoteReference"/>
          <w:rFonts w:ascii="Arial" w:hAnsi="Arial" w:cs="Arial"/>
          <w:sz w:val="22"/>
          <w:szCs w:val="22"/>
          <w:lang w:val="en-CA"/>
        </w:rPr>
        <w:footnoteReference w:id="2"/>
      </w:r>
      <w:r w:rsidRPr="0006305E">
        <w:rPr>
          <w:rFonts w:ascii="Arial" w:hAnsi="Arial" w:cs="Arial"/>
          <w:sz w:val="22"/>
          <w:szCs w:val="22"/>
          <w:lang w:val="en-CA"/>
        </w:rPr>
        <w:t>, Vietnam (2016), Japan (2017) and Singapore (2018). In June 2019, the EU concluded a trade agreement with M</w:t>
      </w:r>
      <w:r w:rsidR="006D420C">
        <w:rPr>
          <w:rFonts w:ascii="Arial" w:hAnsi="Arial" w:cs="Arial"/>
          <w:sz w:val="22"/>
          <w:szCs w:val="22"/>
          <w:lang w:val="en-CA"/>
        </w:rPr>
        <w:t>ERCOSUR</w:t>
      </w:r>
      <w:r w:rsidRPr="0006305E">
        <w:rPr>
          <w:rFonts w:ascii="Arial" w:hAnsi="Arial" w:cs="Arial"/>
          <w:sz w:val="22"/>
          <w:szCs w:val="22"/>
          <w:lang w:val="en-CA"/>
        </w:rPr>
        <w:t xml:space="preserve">, which brings together Brazil, Argentina, Uruguay and Paraguay. However, this agreement has not yet been ratified and entered into force due to its controversial nature and the strong reluctance expressed by several EU member states. Finally, the EU is currently </w:t>
      </w:r>
      <w:r w:rsidR="006D420C">
        <w:rPr>
          <w:rFonts w:ascii="Arial" w:hAnsi="Arial" w:cs="Arial"/>
          <w:sz w:val="22"/>
          <w:szCs w:val="22"/>
          <w:lang w:val="en-CA"/>
        </w:rPr>
        <w:t>(re)</w:t>
      </w:r>
      <w:r w:rsidRPr="0006305E">
        <w:rPr>
          <w:rFonts w:ascii="Arial" w:hAnsi="Arial" w:cs="Arial"/>
          <w:sz w:val="22"/>
          <w:szCs w:val="22"/>
          <w:lang w:val="en-CA"/>
        </w:rPr>
        <w:t xml:space="preserve">negotiating </w:t>
      </w:r>
      <w:r w:rsidRPr="0006305E">
        <w:rPr>
          <w:rFonts w:ascii="Arial" w:hAnsi="Arial" w:cs="Arial"/>
          <w:sz w:val="22"/>
          <w:szCs w:val="22"/>
          <w:lang w:val="en-CA"/>
        </w:rPr>
        <w:lastRenderedPageBreak/>
        <w:t>a bilateral trade agreement with Australia, New Zealand, Mexico, Chile and Indonesia</w:t>
      </w:r>
      <w:r w:rsidR="0096377C">
        <w:rPr>
          <w:rFonts w:ascii="Arial" w:hAnsi="Arial" w:cs="Arial"/>
          <w:sz w:val="22"/>
          <w:szCs w:val="22"/>
          <w:lang w:val="en-CA"/>
        </w:rPr>
        <w:t>, as well as an investment agreement with China</w:t>
      </w:r>
      <w:r w:rsidRPr="0006305E">
        <w:rPr>
          <w:rFonts w:ascii="Arial" w:hAnsi="Arial" w:cs="Arial"/>
          <w:sz w:val="22"/>
          <w:szCs w:val="22"/>
          <w:lang w:val="en-CA"/>
        </w:rPr>
        <w:t>. In</w:t>
      </w:r>
      <w:r w:rsidR="001A7DFD">
        <w:rPr>
          <w:rFonts w:ascii="Arial" w:hAnsi="Arial" w:cs="Arial"/>
          <w:sz w:val="22"/>
          <w:szCs w:val="22"/>
          <w:lang w:val="en-CA"/>
        </w:rPr>
        <w:t xml:space="preserve"> th</w:t>
      </w:r>
      <w:r w:rsidR="006D420C">
        <w:rPr>
          <w:rFonts w:ascii="Arial" w:hAnsi="Arial" w:cs="Arial"/>
          <w:sz w:val="22"/>
          <w:szCs w:val="22"/>
          <w:lang w:val="en-CA"/>
        </w:rPr>
        <w:t xml:space="preserve">is </w:t>
      </w:r>
      <w:r w:rsidR="001A7DFD">
        <w:rPr>
          <w:rFonts w:ascii="Arial" w:hAnsi="Arial" w:cs="Arial"/>
          <w:sz w:val="22"/>
          <w:szCs w:val="22"/>
          <w:lang w:val="en-CA"/>
        </w:rPr>
        <w:t>current issue</w:t>
      </w:r>
      <w:r w:rsidRPr="0006305E">
        <w:rPr>
          <w:rFonts w:ascii="Arial" w:hAnsi="Arial" w:cs="Arial"/>
          <w:sz w:val="22"/>
          <w:szCs w:val="22"/>
          <w:lang w:val="en-CA"/>
        </w:rPr>
        <w:t xml:space="preserve">, </w:t>
      </w:r>
      <w:r w:rsidR="006D420C">
        <w:rPr>
          <w:rFonts w:ascii="Arial" w:hAnsi="Arial" w:cs="Arial"/>
          <w:sz w:val="22"/>
          <w:szCs w:val="22"/>
          <w:lang w:val="en-CA"/>
        </w:rPr>
        <w:t xml:space="preserve">the </w:t>
      </w:r>
      <w:r w:rsidRPr="0006305E">
        <w:rPr>
          <w:rFonts w:ascii="Arial" w:hAnsi="Arial" w:cs="Arial"/>
          <w:sz w:val="22"/>
          <w:szCs w:val="22"/>
          <w:lang w:val="en-CA"/>
        </w:rPr>
        <w:t>aim is to analyze the place of cultural goods and services in the economic partnership with Japan</w:t>
      </w:r>
      <w:r w:rsidR="00FC7B28">
        <w:rPr>
          <w:rFonts w:ascii="Arial" w:hAnsi="Arial" w:cs="Arial"/>
          <w:sz w:val="22"/>
          <w:szCs w:val="22"/>
          <w:lang w:val="en-CA"/>
        </w:rPr>
        <w:t xml:space="preserve"> and M</w:t>
      </w:r>
      <w:r w:rsidR="00CD6371">
        <w:rPr>
          <w:rFonts w:ascii="Arial" w:hAnsi="Arial" w:cs="Arial"/>
          <w:sz w:val="22"/>
          <w:szCs w:val="22"/>
          <w:lang w:val="en-CA"/>
        </w:rPr>
        <w:t>ERCOSUR</w:t>
      </w:r>
      <w:r w:rsidR="00FC7B28">
        <w:rPr>
          <w:rFonts w:ascii="Arial" w:hAnsi="Arial" w:cs="Arial"/>
          <w:sz w:val="22"/>
          <w:szCs w:val="22"/>
          <w:lang w:val="en-CA"/>
        </w:rPr>
        <w:t>, as well as</w:t>
      </w:r>
      <w:r w:rsidRPr="0006305E">
        <w:rPr>
          <w:rFonts w:ascii="Arial" w:hAnsi="Arial" w:cs="Arial"/>
          <w:sz w:val="22"/>
          <w:szCs w:val="22"/>
          <w:lang w:val="en-CA"/>
        </w:rPr>
        <w:t xml:space="preserve"> in trade negotiations with Australia and New Zealand.</w:t>
      </w:r>
    </w:p>
    <w:p w:rsidR="00FC7B28" w:rsidRPr="00FC7B28" w:rsidRDefault="00FC7B28" w:rsidP="001A7DFD">
      <w:pPr>
        <w:spacing w:beforeLines="120" w:before="288" w:afterLines="120" w:after="288" w:line="276" w:lineRule="auto"/>
        <w:ind w:left="425" w:right="714"/>
        <w:jc w:val="both"/>
        <w:rPr>
          <w:rFonts w:ascii="Arial" w:hAnsi="Arial" w:cs="Arial"/>
          <w:b/>
          <w:sz w:val="22"/>
          <w:szCs w:val="22"/>
          <w:lang w:val="en-CA"/>
        </w:rPr>
      </w:pPr>
      <w:r w:rsidRPr="00FC7B28">
        <w:rPr>
          <w:rFonts w:ascii="Arial" w:hAnsi="Arial" w:cs="Arial"/>
          <w:b/>
          <w:sz w:val="22"/>
          <w:szCs w:val="22"/>
          <w:lang w:val="en-CA"/>
        </w:rPr>
        <w:t xml:space="preserve">Agreement between </w:t>
      </w:r>
      <w:r w:rsidR="00CD6371">
        <w:rPr>
          <w:rFonts w:ascii="Arial" w:hAnsi="Arial" w:cs="Arial"/>
          <w:b/>
          <w:sz w:val="22"/>
          <w:szCs w:val="22"/>
          <w:lang w:val="en-CA"/>
        </w:rPr>
        <w:t xml:space="preserve">the </w:t>
      </w:r>
      <w:r w:rsidRPr="00FC7B28">
        <w:rPr>
          <w:rFonts w:ascii="Arial" w:hAnsi="Arial" w:cs="Arial"/>
          <w:b/>
          <w:sz w:val="22"/>
          <w:szCs w:val="22"/>
          <w:lang w:val="en-CA"/>
        </w:rPr>
        <w:t>EU and Japan</w:t>
      </w:r>
    </w:p>
    <w:p w:rsidR="004074A3" w:rsidRDefault="001A7DFD" w:rsidP="004074A3">
      <w:pPr>
        <w:spacing w:beforeLines="120" w:before="288" w:afterLines="120" w:after="288" w:line="276" w:lineRule="auto"/>
        <w:ind w:left="425" w:right="714"/>
        <w:jc w:val="both"/>
        <w:rPr>
          <w:rFonts w:ascii="Arial" w:hAnsi="Arial" w:cs="Arial"/>
          <w:sz w:val="22"/>
          <w:szCs w:val="22"/>
          <w:lang w:val="en-CA"/>
        </w:rPr>
      </w:pPr>
      <w:r w:rsidRPr="001A7DFD">
        <w:rPr>
          <w:rFonts w:ascii="Arial" w:hAnsi="Arial" w:cs="Arial"/>
          <w:sz w:val="22"/>
          <w:szCs w:val="22"/>
          <w:lang w:val="en-CA"/>
        </w:rPr>
        <w:t xml:space="preserve">In the case of Japan, the </w:t>
      </w:r>
      <w:hyperlink r:id="rId8" w:anchor="page=13" w:history="1">
        <w:r w:rsidRPr="00667942">
          <w:rPr>
            <w:rStyle w:val="Hyperlink"/>
            <w:rFonts w:ascii="Arial" w:hAnsi="Arial" w:cs="Arial"/>
            <w:sz w:val="22"/>
            <w:szCs w:val="22"/>
            <w:lang w:val="en-CA"/>
          </w:rPr>
          <w:t>agreement</w:t>
        </w:r>
      </w:hyperlink>
      <w:r w:rsidRPr="001A7DFD">
        <w:rPr>
          <w:rFonts w:ascii="Arial" w:hAnsi="Arial" w:cs="Arial"/>
          <w:sz w:val="22"/>
          <w:szCs w:val="22"/>
          <w:lang w:val="en-CA"/>
        </w:rPr>
        <w:t xml:space="preserve"> contains a "cultural exception" which exclusively covers audiovisual and broadcasting services. Audiovisual services are explicitly </w:t>
      </w:r>
      <w:r>
        <w:rPr>
          <w:rFonts w:ascii="Arial" w:hAnsi="Arial" w:cs="Arial"/>
          <w:sz w:val="22"/>
          <w:szCs w:val="22"/>
          <w:lang w:val="en-CA"/>
        </w:rPr>
        <w:t>excluded</w:t>
      </w:r>
      <w:r w:rsidRPr="001A7DFD">
        <w:rPr>
          <w:rFonts w:ascii="Arial" w:hAnsi="Arial" w:cs="Arial"/>
          <w:sz w:val="22"/>
          <w:szCs w:val="22"/>
          <w:lang w:val="en-CA"/>
        </w:rPr>
        <w:t xml:space="preserve"> from the following </w:t>
      </w:r>
      <w:r w:rsidR="00BA433C">
        <w:rPr>
          <w:rFonts w:ascii="Arial" w:hAnsi="Arial" w:cs="Arial"/>
          <w:sz w:val="22"/>
          <w:szCs w:val="22"/>
          <w:lang w:val="en-CA"/>
        </w:rPr>
        <w:t>fields</w:t>
      </w:r>
      <w:r w:rsidRPr="001A7DFD">
        <w:rPr>
          <w:rFonts w:ascii="Arial" w:hAnsi="Arial" w:cs="Arial"/>
          <w:sz w:val="22"/>
          <w:szCs w:val="22"/>
          <w:lang w:val="en-CA"/>
        </w:rPr>
        <w:t xml:space="preserve">: </w:t>
      </w:r>
      <w:r w:rsidR="0025652A">
        <w:rPr>
          <w:rFonts w:ascii="Arial" w:hAnsi="Arial" w:cs="Arial"/>
          <w:sz w:val="22"/>
          <w:szCs w:val="22"/>
          <w:lang w:val="en-CA"/>
        </w:rPr>
        <w:t>“</w:t>
      </w:r>
      <w:r w:rsidRPr="001A7DFD">
        <w:rPr>
          <w:rFonts w:ascii="Arial" w:hAnsi="Arial" w:cs="Arial"/>
          <w:sz w:val="22"/>
          <w:szCs w:val="22"/>
          <w:lang w:val="en-CA"/>
        </w:rPr>
        <w:t>investment liberalization</w:t>
      </w:r>
      <w:r w:rsidR="0025652A">
        <w:rPr>
          <w:rFonts w:ascii="Arial" w:hAnsi="Arial" w:cs="Arial"/>
          <w:sz w:val="22"/>
          <w:szCs w:val="22"/>
          <w:lang w:val="en-CA"/>
        </w:rPr>
        <w:t>”</w:t>
      </w:r>
      <w:r w:rsidRPr="001A7DFD">
        <w:rPr>
          <w:rFonts w:ascii="Arial" w:hAnsi="Arial" w:cs="Arial"/>
          <w:sz w:val="22"/>
          <w:szCs w:val="22"/>
          <w:lang w:val="en-CA"/>
        </w:rPr>
        <w:t xml:space="preserve"> (Article 8.6), </w:t>
      </w:r>
      <w:r w:rsidR="0025652A">
        <w:rPr>
          <w:rFonts w:ascii="Arial" w:hAnsi="Arial" w:cs="Arial"/>
          <w:sz w:val="22"/>
          <w:szCs w:val="22"/>
          <w:lang w:val="en-CA"/>
        </w:rPr>
        <w:t>“</w:t>
      </w:r>
      <w:r w:rsidRPr="001A7DFD">
        <w:rPr>
          <w:rFonts w:ascii="Arial" w:hAnsi="Arial" w:cs="Arial"/>
          <w:sz w:val="22"/>
          <w:szCs w:val="22"/>
          <w:lang w:val="en-CA"/>
        </w:rPr>
        <w:t>cross-border trade in services</w:t>
      </w:r>
      <w:r w:rsidR="0025652A">
        <w:rPr>
          <w:rFonts w:ascii="Arial" w:hAnsi="Arial" w:cs="Arial"/>
          <w:sz w:val="22"/>
          <w:szCs w:val="22"/>
          <w:lang w:val="en-CA"/>
        </w:rPr>
        <w:t>”</w:t>
      </w:r>
      <w:r w:rsidRPr="001A7DFD">
        <w:rPr>
          <w:rFonts w:ascii="Arial" w:hAnsi="Arial" w:cs="Arial"/>
          <w:sz w:val="22"/>
          <w:szCs w:val="22"/>
          <w:lang w:val="en-CA"/>
        </w:rPr>
        <w:t xml:space="preserve"> (Article 8.14), </w:t>
      </w:r>
      <w:r w:rsidR="0025652A">
        <w:rPr>
          <w:rFonts w:ascii="Arial" w:hAnsi="Arial" w:cs="Arial"/>
          <w:sz w:val="22"/>
          <w:szCs w:val="22"/>
          <w:lang w:val="en-CA"/>
        </w:rPr>
        <w:t>“</w:t>
      </w:r>
      <w:r w:rsidRPr="001A7DFD">
        <w:rPr>
          <w:rFonts w:ascii="Arial" w:hAnsi="Arial" w:cs="Arial"/>
          <w:sz w:val="22"/>
          <w:szCs w:val="22"/>
          <w:lang w:val="en-CA"/>
        </w:rPr>
        <w:t>electronic commerce</w:t>
      </w:r>
      <w:r w:rsidR="0025652A">
        <w:rPr>
          <w:rFonts w:ascii="Arial" w:hAnsi="Arial" w:cs="Arial"/>
          <w:sz w:val="22"/>
          <w:szCs w:val="22"/>
          <w:lang w:val="en-CA"/>
        </w:rPr>
        <w:t>”</w:t>
      </w:r>
      <w:r w:rsidRPr="001A7DFD">
        <w:rPr>
          <w:rFonts w:ascii="Arial" w:hAnsi="Arial" w:cs="Arial"/>
          <w:sz w:val="22"/>
          <w:szCs w:val="22"/>
          <w:lang w:val="en-CA"/>
        </w:rPr>
        <w:t xml:space="preserve"> (Article 8.70), </w:t>
      </w:r>
      <w:r w:rsidR="0025652A">
        <w:rPr>
          <w:rFonts w:ascii="Arial" w:hAnsi="Arial" w:cs="Arial"/>
          <w:sz w:val="22"/>
          <w:szCs w:val="22"/>
          <w:lang w:val="en-CA"/>
        </w:rPr>
        <w:t>“</w:t>
      </w:r>
      <w:r w:rsidRPr="001A7DFD">
        <w:rPr>
          <w:rFonts w:ascii="Arial" w:hAnsi="Arial" w:cs="Arial"/>
          <w:sz w:val="22"/>
          <w:szCs w:val="22"/>
          <w:lang w:val="en-CA"/>
        </w:rPr>
        <w:t>subsidies</w:t>
      </w:r>
      <w:r w:rsidR="0025652A">
        <w:rPr>
          <w:rFonts w:ascii="Arial" w:hAnsi="Arial" w:cs="Arial"/>
          <w:sz w:val="22"/>
          <w:szCs w:val="22"/>
          <w:lang w:val="en-CA"/>
        </w:rPr>
        <w:t>”</w:t>
      </w:r>
      <w:r w:rsidRPr="001A7DFD">
        <w:rPr>
          <w:rFonts w:ascii="Arial" w:hAnsi="Arial" w:cs="Arial"/>
          <w:sz w:val="22"/>
          <w:szCs w:val="22"/>
          <w:lang w:val="en-CA"/>
        </w:rPr>
        <w:t xml:space="preserve"> (Article 12.3). Broadcasting services are excluded from the application of the sub</w:t>
      </w:r>
      <w:r>
        <w:rPr>
          <w:rFonts w:ascii="Arial" w:hAnsi="Arial" w:cs="Arial"/>
          <w:sz w:val="22"/>
          <w:szCs w:val="22"/>
          <w:lang w:val="en-CA"/>
        </w:rPr>
        <w:t>-</w:t>
      </w:r>
      <w:r w:rsidRPr="001A7DFD">
        <w:rPr>
          <w:rFonts w:ascii="Arial" w:hAnsi="Arial" w:cs="Arial"/>
          <w:sz w:val="22"/>
          <w:szCs w:val="22"/>
          <w:lang w:val="en-CA"/>
        </w:rPr>
        <w:t>section on telecommunications services (Article 8.41).</w:t>
      </w:r>
      <w:r>
        <w:rPr>
          <w:rFonts w:ascii="Arial" w:hAnsi="Arial" w:cs="Arial"/>
          <w:sz w:val="22"/>
          <w:szCs w:val="22"/>
          <w:lang w:val="en-CA"/>
        </w:rPr>
        <w:t xml:space="preserve"> </w:t>
      </w:r>
      <w:r w:rsidRPr="001A7DFD">
        <w:rPr>
          <w:rFonts w:ascii="Arial" w:hAnsi="Arial" w:cs="Arial"/>
          <w:sz w:val="22"/>
          <w:szCs w:val="22"/>
          <w:lang w:val="en-CA"/>
        </w:rPr>
        <w:t xml:space="preserve">Furthermore, in </w:t>
      </w:r>
      <w:hyperlink r:id="rId9" w:anchor="page=185" w:history="1">
        <w:r w:rsidRPr="00601411">
          <w:rPr>
            <w:rStyle w:val="Hyperlink"/>
            <w:rFonts w:ascii="Arial" w:hAnsi="Arial" w:cs="Arial"/>
            <w:sz w:val="22"/>
            <w:szCs w:val="22"/>
            <w:lang w:val="en-CA"/>
          </w:rPr>
          <w:t>Chapter 8</w:t>
        </w:r>
      </w:hyperlink>
      <w:r w:rsidRPr="001A7DFD">
        <w:rPr>
          <w:rFonts w:ascii="Arial" w:hAnsi="Arial" w:cs="Arial"/>
          <w:sz w:val="22"/>
          <w:szCs w:val="22"/>
          <w:lang w:val="en-CA"/>
        </w:rPr>
        <w:t xml:space="preserve"> deal</w:t>
      </w:r>
      <w:r>
        <w:rPr>
          <w:rFonts w:ascii="Arial" w:hAnsi="Arial" w:cs="Arial"/>
          <w:sz w:val="22"/>
          <w:szCs w:val="22"/>
          <w:lang w:val="en-CA"/>
        </w:rPr>
        <w:t>ing</w:t>
      </w:r>
      <w:r w:rsidRPr="001A7DFD">
        <w:rPr>
          <w:rFonts w:ascii="Arial" w:hAnsi="Arial" w:cs="Arial"/>
          <w:sz w:val="22"/>
          <w:szCs w:val="22"/>
          <w:lang w:val="en-CA"/>
        </w:rPr>
        <w:t xml:space="preserve"> with "Trade in services, liberalization of investment and electronic commerce", </w:t>
      </w:r>
      <w:r>
        <w:rPr>
          <w:rFonts w:ascii="Arial" w:hAnsi="Arial" w:cs="Arial"/>
          <w:sz w:val="22"/>
          <w:szCs w:val="22"/>
          <w:lang w:val="en-CA"/>
        </w:rPr>
        <w:t xml:space="preserve">the </w:t>
      </w:r>
      <w:r w:rsidRPr="001A7DFD">
        <w:rPr>
          <w:rFonts w:ascii="Arial" w:hAnsi="Arial" w:cs="Arial"/>
          <w:sz w:val="22"/>
          <w:szCs w:val="22"/>
          <w:lang w:val="en-CA"/>
        </w:rPr>
        <w:t>paragraph 2 of Article 8.1 specifies that</w:t>
      </w:r>
      <w:r>
        <w:rPr>
          <w:rFonts w:ascii="Arial" w:hAnsi="Arial" w:cs="Arial"/>
          <w:sz w:val="22"/>
          <w:szCs w:val="22"/>
          <w:lang w:val="en-CA"/>
        </w:rPr>
        <w:t xml:space="preserve"> </w:t>
      </w:r>
      <w:r w:rsidR="00BA433C">
        <w:rPr>
          <w:rFonts w:ascii="Arial" w:hAnsi="Arial" w:cs="Arial"/>
          <w:sz w:val="22"/>
          <w:szCs w:val="22"/>
          <w:lang w:val="en-CA"/>
        </w:rPr>
        <w:t>“</w:t>
      </w:r>
      <w:r w:rsidRPr="001A7DFD">
        <w:rPr>
          <w:rFonts w:ascii="Arial" w:hAnsi="Arial" w:cs="Arial"/>
          <w:sz w:val="22"/>
          <w:szCs w:val="22"/>
          <w:lang w:val="en-CA"/>
        </w:rPr>
        <w:t xml:space="preserve">for the purposes of this Chapter, the Parties affirm their right to adopt within their territories regulatory measures necessary to achieve legitimate policy objectives, such as </w:t>
      </w:r>
      <w:r w:rsidR="00BA433C">
        <w:rPr>
          <w:rFonts w:ascii="Arial" w:hAnsi="Arial" w:cs="Arial"/>
          <w:sz w:val="22"/>
          <w:szCs w:val="22"/>
          <w:lang w:val="en-CA"/>
        </w:rPr>
        <w:t>[</w:t>
      </w:r>
      <w:r w:rsidRPr="001A7DFD">
        <w:rPr>
          <w:rFonts w:ascii="Arial" w:hAnsi="Arial" w:cs="Arial"/>
          <w:sz w:val="22"/>
          <w:szCs w:val="22"/>
          <w:lang w:val="en-CA"/>
        </w:rPr>
        <w:t>…</w:t>
      </w:r>
      <w:r w:rsidR="00BA433C">
        <w:rPr>
          <w:rFonts w:ascii="Arial" w:hAnsi="Arial" w:cs="Arial"/>
          <w:sz w:val="22"/>
          <w:szCs w:val="22"/>
          <w:lang w:val="en-CA"/>
        </w:rPr>
        <w:t>]</w:t>
      </w:r>
      <w:r w:rsidRPr="001A7DFD">
        <w:rPr>
          <w:rFonts w:ascii="Arial" w:hAnsi="Arial" w:cs="Arial"/>
          <w:sz w:val="22"/>
          <w:szCs w:val="22"/>
          <w:lang w:val="en-CA"/>
        </w:rPr>
        <w:t xml:space="preserve"> the promotion and protection of cultural diversity</w:t>
      </w:r>
      <w:r w:rsidR="00BA433C">
        <w:rPr>
          <w:rFonts w:ascii="Arial" w:hAnsi="Arial" w:cs="Arial"/>
          <w:sz w:val="22"/>
          <w:szCs w:val="22"/>
          <w:lang w:val="en-CA"/>
        </w:rPr>
        <w:t>”</w:t>
      </w:r>
      <w:r w:rsidRPr="001A7DFD">
        <w:rPr>
          <w:rFonts w:ascii="Arial" w:hAnsi="Arial" w:cs="Arial"/>
          <w:sz w:val="22"/>
          <w:szCs w:val="22"/>
          <w:lang w:val="en-CA"/>
        </w:rPr>
        <w:t xml:space="preserve">. </w:t>
      </w:r>
      <w:r w:rsidRPr="00A72CDA">
        <w:rPr>
          <w:rFonts w:ascii="Arial" w:hAnsi="Arial" w:cs="Arial"/>
          <w:sz w:val="22"/>
          <w:szCs w:val="22"/>
          <w:lang w:val="en-CA"/>
        </w:rPr>
        <w:t xml:space="preserve">Besides, </w:t>
      </w:r>
      <w:hyperlink r:id="rId10" w:anchor="page=475" w:history="1">
        <w:r w:rsidRPr="00601411">
          <w:rPr>
            <w:rStyle w:val="Hyperlink"/>
            <w:rFonts w:ascii="Arial" w:hAnsi="Arial" w:cs="Arial"/>
            <w:sz w:val="22"/>
            <w:szCs w:val="22"/>
            <w:lang w:val="en-CA"/>
          </w:rPr>
          <w:t>Chapter 18</w:t>
        </w:r>
      </w:hyperlink>
      <w:r w:rsidRPr="00A72CDA">
        <w:rPr>
          <w:rFonts w:ascii="Arial" w:hAnsi="Arial" w:cs="Arial"/>
          <w:sz w:val="22"/>
          <w:szCs w:val="22"/>
          <w:lang w:val="en-CA"/>
        </w:rPr>
        <w:t xml:space="preserve"> on </w:t>
      </w:r>
      <w:r>
        <w:rPr>
          <w:rFonts w:ascii="Arial" w:hAnsi="Arial" w:cs="Arial"/>
          <w:sz w:val="22"/>
          <w:szCs w:val="22"/>
          <w:lang w:val="en-CA"/>
        </w:rPr>
        <w:t>“</w:t>
      </w:r>
      <w:r w:rsidRPr="00A72CDA">
        <w:rPr>
          <w:rFonts w:ascii="Arial" w:hAnsi="Arial" w:cs="Arial"/>
          <w:sz w:val="22"/>
          <w:szCs w:val="22"/>
          <w:lang w:val="en-CA"/>
        </w:rPr>
        <w:t>Good regulatory practices and regulatory protection</w:t>
      </w:r>
      <w:r>
        <w:rPr>
          <w:rFonts w:ascii="Arial" w:hAnsi="Arial" w:cs="Arial"/>
          <w:sz w:val="22"/>
          <w:szCs w:val="22"/>
          <w:lang w:val="en-CA"/>
        </w:rPr>
        <w:t xml:space="preserve">” </w:t>
      </w:r>
      <w:r w:rsidR="0089499D">
        <w:rPr>
          <w:rFonts w:ascii="Arial" w:hAnsi="Arial" w:cs="Arial"/>
          <w:sz w:val="22"/>
          <w:szCs w:val="22"/>
          <w:lang w:val="en-CA"/>
        </w:rPr>
        <w:t>mentions</w:t>
      </w:r>
      <w:r>
        <w:rPr>
          <w:rFonts w:ascii="Arial" w:hAnsi="Arial" w:cs="Arial"/>
          <w:sz w:val="22"/>
          <w:szCs w:val="22"/>
          <w:lang w:val="en-CA"/>
        </w:rPr>
        <w:t xml:space="preserve"> that “nothing in this section shall affect the right of a Party to define or regulate its own levels of protection in pursuit or furtherance of its public policy objectives in areas such as </w:t>
      </w:r>
      <w:r w:rsidR="00BA433C">
        <w:rPr>
          <w:rFonts w:ascii="Arial" w:hAnsi="Arial" w:cs="Arial"/>
          <w:sz w:val="22"/>
          <w:szCs w:val="22"/>
          <w:lang w:val="en-CA"/>
        </w:rPr>
        <w:t>[</w:t>
      </w:r>
      <w:r>
        <w:rPr>
          <w:rFonts w:ascii="Arial" w:hAnsi="Arial" w:cs="Arial"/>
          <w:sz w:val="22"/>
          <w:szCs w:val="22"/>
          <w:lang w:val="en-CA"/>
        </w:rPr>
        <w:t>…</w:t>
      </w:r>
      <w:r w:rsidR="00BA433C">
        <w:rPr>
          <w:rFonts w:ascii="Arial" w:hAnsi="Arial" w:cs="Arial"/>
          <w:sz w:val="22"/>
          <w:szCs w:val="22"/>
          <w:lang w:val="en-CA"/>
        </w:rPr>
        <w:t>]</w:t>
      </w:r>
      <w:r>
        <w:rPr>
          <w:rFonts w:ascii="Arial" w:hAnsi="Arial" w:cs="Arial"/>
          <w:sz w:val="22"/>
          <w:szCs w:val="22"/>
          <w:lang w:val="en-CA"/>
        </w:rPr>
        <w:t xml:space="preserve"> cultural diversity”.</w:t>
      </w:r>
      <w:r w:rsidR="004074A3">
        <w:rPr>
          <w:rFonts w:ascii="Arial" w:hAnsi="Arial" w:cs="Arial"/>
          <w:sz w:val="22"/>
          <w:szCs w:val="22"/>
          <w:lang w:val="en-CA"/>
        </w:rPr>
        <w:t xml:space="preserve"> </w:t>
      </w:r>
    </w:p>
    <w:p w:rsidR="001A7DFD" w:rsidRDefault="004074A3" w:rsidP="001A7DFD">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Regarding</w:t>
      </w:r>
      <w:r w:rsidR="008327E7">
        <w:rPr>
          <w:rFonts w:ascii="Arial" w:hAnsi="Arial" w:cs="Arial"/>
          <w:sz w:val="22"/>
          <w:szCs w:val="22"/>
          <w:lang w:val="en-CA"/>
        </w:rPr>
        <w:t xml:space="preserve"> </w:t>
      </w:r>
      <w:hyperlink r:id="rId11" w:anchor="page=361" w:history="1">
        <w:r w:rsidR="00667942" w:rsidRPr="00667942">
          <w:rPr>
            <w:rStyle w:val="Hyperlink"/>
            <w:rFonts w:ascii="Arial" w:hAnsi="Arial" w:cs="Arial"/>
            <w:sz w:val="22"/>
            <w:szCs w:val="22"/>
            <w:lang w:val="en-CA"/>
          </w:rPr>
          <w:t>Chapter 14</w:t>
        </w:r>
      </w:hyperlink>
      <w:r w:rsidR="00667942">
        <w:rPr>
          <w:rFonts w:ascii="Arial" w:hAnsi="Arial" w:cs="Arial"/>
          <w:sz w:val="22"/>
          <w:szCs w:val="22"/>
          <w:lang w:val="en-CA"/>
        </w:rPr>
        <w:t xml:space="preserve"> </w:t>
      </w:r>
      <w:r w:rsidR="008327E7">
        <w:rPr>
          <w:rFonts w:ascii="Arial" w:hAnsi="Arial" w:cs="Arial"/>
          <w:sz w:val="22"/>
          <w:szCs w:val="22"/>
          <w:lang w:val="en-CA"/>
        </w:rPr>
        <w:t>on</w:t>
      </w:r>
      <w:r>
        <w:rPr>
          <w:rFonts w:ascii="Arial" w:hAnsi="Arial" w:cs="Arial"/>
          <w:sz w:val="22"/>
          <w:szCs w:val="22"/>
          <w:lang w:val="en-CA"/>
        </w:rPr>
        <w:t xml:space="preserve"> “Intellectual Property”</w:t>
      </w:r>
      <w:r w:rsidR="008327E7">
        <w:rPr>
          <w:rFonts w:ascii="Arial" w:hAnsi="Arial" w:cs="Arial"/>
          <w:sz w:val="22"/>
          <w:szCs w:val="22"/>
          <w:lang w:val="en-CA"/>
        </w:rPr>
        <w:t>,</w:t>
      </w:r>
      <w:r w:rsidR="001A7DFD">
        <w:rPr>
          <w:rFonts w:ascii="Arial" w:hAnsi="Arial" w:cs="Arial"/>
          <w:sz w:val="22"/>
          <w:szCs w:val="22"/>
          <w:lang w:val="en-CA"/>
        </w:rPr>
        <w:t xml:space="preserve"> </w:t>
      </w:r>
      <w:r w:rsidR="00CD6371">
        <w:rPr>
          <w:rFonts w:ascii="Arial" w:hAnsi="Arial" w:cs="Arial"/>
          <w:sz w:val="22"/>
          <w:szCs w:val="22"/>
          <w:lang w:val="en-CA"/>
        </w:rPr>
        <w:t>a</w:t>
      </w:r>
      <w:r w:rsidR="001A7DFD">
        <w:rPr>
          <w:rFonts w:ascii="Arial" w:hAnsi="Arial" w:cs="Arial"/>
          <w:sz w:val="22"/>
          <w:szCs w:val="22"/>
          <w:lang w:val="en-CA"/>
        </w:rPr>
        <w:t>rticle 14</w:t>
      </w:r>
      <w:r w:rsidR="00C85EA6">
        <w:rPr>
          <w:rFonts w:ascii="Arial" w:hAnsi="Arial" w:cs="Arial"/>
          <w:sz w:val="22"/>
          <w:szCs w:val="22"/>
          <w:lang w:val="en-CA"/>
        </w:rPr>
        <w:t xml:space="preserve">.8 defines copyright and other rights for authors, performers, producers of phonograms, broadcasting organizations. </w:t>
      </w:r>
      <w:r>
        <w:rPr>
          <w:rFonts w:ascii="Arial" w:hAnsi="Arial" w:cs="Arial"/>
          <w:sz w:val="22"/>
          <w:szCs w:val="22"/>
          <w:lang w:val="en-CA"/>
        </w:rPr>
        <w:t xml:space="preserve">Article 14.12 stresses that “the Parties agree to continue discussion on adequate protection for the use of phonograms for all communication to the public”. </w:t>
      </w:r>
      <w:r w:rsidR="007218D9">
        <w:rPr>
          <w:rFonts w:ascii="Arial" w:hAnsi="Arial" w:cs="Arial"/>
          <w:sz w:val="22"/>
          <w:szCs w:val="22"/>
          <w:lang w:val="en-CA"/>
        </w:rPr>
        <w:t xml:space="preserve">In </w:t>
      </w:r>
      <w:r w:rsidR="00CD6371">
        <w:rPr>
          <w:rFonts w:ascii="Arial" w:hAnsi="Arial" w:cs="Arial"/>
          <w:sz w:val="22"/>
          <w:szCs w:val="22"/>
          <w:lang w:val="en-CA"/>
        </w:rPr>
        <w:t>a</w:t>
      </w:r>
      <w:r w:rsidR="007218D9">
        <w:rPr>
          <w:rFonts w:ascii="Arial" w:hAnsi="Arial" w:cs="Arial"/>
          <w:sz w:val="22"/>
          <w:szCs w:val="22"/>
          <w:lang w:val="en-CA"/>
        </w:rPr>
        <w:t>rticle 14.13, the Parties s</w:t>
      </w:r>
      <w:r w:rsidR="006E5C98">
        <w:rPr>
          <w:rFonts w:ascii="Arial" w:hAnsi="Arial" w:cs="Arial"/>
          <w:sz w:val="22"/>
          <w:szCs w:val="22"/>
          <w:lang w:val="en-CA"/>
        </w:rPr>
        <w:t>tate</w:t>
      </w:r>
      <w:r w:rsidR="007218D9">
        <w:rPr>
          <w:rFonts w:ascii="Arial" w:hAnsi="Arial" w:cs="Arial"/>
          <w:sz w:val="22"/>
          <w:szCs w:val="22"/>
          <w:lang w:val="en-CA"/>
        </w:rPr>
        <w:t xml:space="preserve"> that “the term of protection for rights of an author of a literary or artistic work within the meaning of Article 2 of the Berne Convention shall run for the life of the author and for 70 years after the author’s death”. </w:t>
      </w:r>
      <w:r w:rsidR="000B04DD">
        <w:rPr>
          <w:rFonts w:ascii="Arial" w:hAnsi="Arial" w:cs="Arial"/>
          <w:sz w:val="22"/>
          <w:szCs w:val="22"/>
          <w:lang w:val="en-CA"/>
        </w:rPr>
        <w:t>Moreover</w:t>
      </w:r>
      <w:r w:rsidR="007218D9">
        <w:rPr>
          <w:rFonts w:ascii="Arial" w:hAnsi="Arial" w:cs="Arial"/>
          <w:sz w:val="22"/>
          <w:szCs w:val="22"/>
          <w:lang w:val="en-CA"/>
        </w:rPr>
        <w:t xml:space="preserve">, the term of protection for rights of performers “shall be no less than 50 years after the performance”. </w:t>
      </w:r>
      <w:r w:rsidR="00EF3104">
        <w:rPr>
          <w:rFonts w:ascii="Arial" w:hAnsi="Arial" w:cs="Arial"/>
          <w:sz w:val="22"/>
          <w:szCs w:val="22"/>
          <w:lang w:val="en-CA"/>
        </w:rPr>
        <w:t xml:space="preserve">Finally, in </w:t>
      </w:r>
      <w:r w:rsidR="00CD6371">
        <w:rPr>
          <w:rFonts w:ascii="Arial" w:hAnsi="Arial" w:cs="Arial"/>
          <w:sz w:val="22"/>
          <w:szCs w:val="22"/>
          <w:lang w:val="en-CA"/>
        </w:rPr>
        <w:t>a</w:t>
      </w:r>
      <w:r w:rsidR="00EF3104">
        <w:rPr>
          <w:rFonts w:ascii="Arial" w:hAnsi="Arial" w:cs="Arial"/>
          <w:sz w:val="22"/>
          <w:szCs w:val="22"/>
          <w:lang w:val="en-CA"/>
        </w:rPr>
        <w:t xml:space="preserve">rticle 14.16, the Parties recognise “the importance of promoting cooperation between their respective collective management organisations” and they agree to promote “the transparency of collective management organisations”. </w:t>
      </w:r>
    </w:p>
    <w:p w:rsidR="00BC4B9C" w:rsidRDefault="00BC4B9C" w:rsidP="001A7DFD">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 xml:space="preserve">In addition, article 2.10 </w:t>
      </w:r>
      <w:r w:rsidR="00CD6371">
        <w:rPr>
          <w:rFonts w:ascii="Arial" w:hAnsi="Arial" w:cs="Arial"/>
          <w:sz w:val="22"/>
          <w:szCs w:val="22"/>
          <w:lang w:val="en-CA"/>
        </w:rPr>
        <w:t xml:space="preserve">of </w:t>
      </w:r>
      <w:hyperlink r:id="rId12" w:anchor="page=30" w:history="1">
        <w:r w:rsidR="00667942" w:rsidRPr="00667942">
          <w:rPr>
            <w:rStyle w:val="Hyperlink"/>
            <w:rFonts w:ascii="Arial" w:hAnsi="Arial" w:cs="Arial"/>
            <w:sz w:val="22"/>
            <w:szCs w:val="22"/>
            <w:lang w:val="en-CA"/>
          </w:rPr>
          <w:t>Chapter</w:t>
        </w:r>
        <w:r w:rsidRPr="00667942">
          <w:rPr>
            <w:rStyle w:val="Hyperlink"/>
            <w:rFonts w:ascii="Arial" w:hAnsi="Arial" w:cs="Arial"/>
            <w:sz w:val="22"/>
            <w:szCs w:val="22"/>
            <w:lang w:val="en-CA"/>
          </w:rPr>
          <w:t xml:space="preserve"> 2</w:t>
        </w:r>
      </w:hyperlink>
      <w:r>
        <w:rPr>
          <w:rFonts w:ascii="Arial" w:hAnsi="Arial" w:cs="Arial"/>
          <w:sz w:val="22"/>
          <w:szCs w:val="22"/>
          <w:lang w:val="en-CA"/>
        </w:rPr>
        <w:t xml:space="preserve"> on “Trade in Goods” states that each Party “shall grant duty-free temporary admission into its customs territory” for the following goods: “professional equipment, including equipment for the press or for sound or television broadcasting, cinematographic equipment </w:t>
      </w:r>
      <w:r w:rsidR="00CD6371">
        <w:rPr>
          <w:rFonts w:ascii="Arial" w:hAnsi="Arial" w:cs="Arial"/>
          <w:sz w:val="22"/>
          <w:szCs w:val="22"/>
          <w:lang w:val="en-CA"/>
        </w:rPr>
        <w:t>[</w:t>
      </w:r>
      <w:r>
        <w:rPr>
          <w:rFonts w:ascii="Arial" w:hAnsi="Arial" w:cs="Arial"/>
          <w:sz w:val="22"/>
          <w:szCs w:val="22"/>
          <w:lang w:val="en-CA"/>
        </w:rPr>
        <w:t>…</w:t>
      </w:r>
      <w:r w:rsidR="00CD6371">
        <w:rPr>
          <w:rFonts w:ascii="Arial" w:hAnsi="Arial" w:cs="Arial"/>
          <w:sz w:val="22"/>
          <w:szCs w:val="22"/>
          <w:lang w:val="en-CA"/>
        </w:rPr>
        <w:t>]</w:t>
      </w:r>
      <w:r>
        <w:rPr>
          <w:rFonts w:ascii="Arial" w:hAnsi="Arial" w:cs="Arial"/>
          <w:sz w:val="22"/>
          <w:szCs w:val="22"/>
          <w:lang w:val="en-CA"/>
        </w:rPr>
        <w:t xml:space="preserve"> advertising films and recordings. </w:t>
      </w:r>
    </w:p>
    <w:p w:rsidR="00C85EA6" w:rsidRDefault="00C85EA6" w:rsidP="00C85EA6">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lastRenderedPageBreak/>
        <w:t>Finally</w:t>
      </w:r>
      <w:r w:rsidRPr="009523C3">
        <w:rPr>
          <w:rFonts w:ascii="Arial" w:hAnsi="Arial" w:cs="Arial"/>
          <w:sz w:val="22"/>
          <w:szCs w:val="22"/>
          <w:lang w:val="en-CA"/>
        </w:rPr>
        <w:t xml:space="preserve">, in </w:t>
      </w:r>
      <w:hyperlink r:id="rId13" w:anchor="page=1" w:history="1">
        <w:r w:rsidRPr="00667942">
          <w:rPr>
            <w:rStyle w:val="Hyperlink"/>
            <w:rFonts w:ascii="Arial" w:hAnsi="Arial" w:cs="Arial"/>
            <w:sz w:val="22"/>
            <w:szCs w:val="22"/>
            <w:lang w:val="en-CA"/>
          </w:rPr>
          <w:t>Annex II</w:t>
        </w:r>
      </w:hyperlink>
      <w:r>
        <w:rPr>
          <w:rFonts w:ascii="Arial" w:hAnsi="Arial" w:cs="Arial"/>
          <w:sz w:val="22"/>
          <w:szCs w:val="22"/>
          <w:lang w:val="en-CA"/>
        </w:rPr>
        <w:t xml:space="preserve"> “Reservations for Future Measures”, reservation n°11 st</w:t>
      </w:r>
      <w:r w:rsidR="0089499D">
        <w:rPr>
          <w:rFonts w:ascii="Arial" w:hAnsi="Arial" w:cs="Arial"/>
          <w:sz w:val="22"/>
          <w:szCs w:val="22"/>
          <w:lang w:val="en-CA"/>
        </w:rPr>
        <w:t>resse</w:t>
      </w:r>
      <w:r>
        <w:rPr>
          <w:rFonts w:ascii="Arial" w:hAnsi="Arial" w:cs="Arial"/>
          <w:sz w:val="22"/>
          <w:szCs w:val="22"/>
          <w:lang w:val="en-CA"/>
        </w:rPr>
        <w:t xml:space="preserve">s that “the EU reserves the right to adopt or maintain any measure with respect to broadcast transmission services”. On its side, “Japan reserves the right to adopt or maintain any measure relating to investments or the supply of services in broadcasting industry”. In reservation n°19, the EU reserves “the right to adopt or maintain any measure” with respect to: (a) libraries, archives, museums and other cultural services; (b) entertainment services, theatre, live bands and circus services ; (c) news and press agencies. </w:t>
      </w:r>
    </w:p>
    <w:p w:rsidR="00FC7B28" w:rsidRDefault="00C85EA6" w:rsidP="00155138">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It</w:t>
      </w:r>
      <w:r w:rsidR="00710040">
        <w:rPr>
          <w:rFonts w:ascii="Arial" w:hAnsi="Arial" w:cs="Arial"/>
          <w:sz w:val="22"/>
          <w:szCs w:val="22"/>
          <w:lang w:val="en-CA"/>
        </w:rPr>
        <w:t xml:space="preserve"> is</w:t>
      </w:r>
      <w:r>
        <w:rPr>
          <w:rFonts w:ascii="Arial" w:hAnsi="Arial" w:cs="Arial"/>
          <w:sz w:val="22"/>
          <w:szCs w:val="22"/>
          <w:lang w:val="en-CA"/>
        </w:rPr>
        <w:t xml:space="preserve"> worth noting here that no reference to the UNESCO Convention on </w:t>
      </w:r>
      <w:r w:rsidR="008B172E">
        <w:rPr>
          <w:rFonts w:ascii="Arial" w:hAnsi="Arial" w:cs="Arial"/>
          <w:sz w:val="22"/>
          <w:szCs w:val="22"/>
          <w:lang w:val="en-CA"/>
        </w:rPr>
        <w:t xml:space="preserve">the </w:t>
      </w:r>
      <w:r w:rsidR="00710040">
        <w:rPr>
          <w:rFonts w:ascii="Arial" w:hAnsi="Arial" w:cs="Arial"/>
          <w:sz w:val="22"/>
          <w:szCs w:val="22"/>
          <w:lang w:val="en-CA"/>
        </w:rPr>
        <w:t xml:space="preserve">Protection and Promotion of the </w:t>
      </w:r>
      <w:r w:rsidR="008B172E">
        <w:rPr>
          <w:rFonts w:ascii="Arial" w:hAnsi="Arial" w:cs="Arial"/>
          <w:sz w:val="22"/>
          <w:szCs w:val="22"/>
          <w:lang w:val="en-CA"/>
        </w:rPr>
        <w:t>D</w:t>
      </w:r>
      <w:r>
        <w:rPr>
          <w:rFonts w:ascii="Arial" w:hAnsi="Arial" w:cs="Arial"/>
          <w:sz w:val="22"/>
          <w:szCs w:val="22"/>
          <w:lang w:val="en-CA"/>
        </w:rPr>
        <w:t xml:space="preserve">iversity of </w:t>
      </w:r>
      <w:r w:rsidR="008B172E">
        <w:rPr>
          <w:rFonts w:ascii="Arial" w:hAnsi="Arial" w:cs="Arial"/>
          <w:sz w:val="22"/>
          <w:szCs w:val="22"/>
          <w:lang w:val="en-CA"/>
        </w:rPr>
        <w:t>C</w:t>
      </w:r>
      <w:r>
        <w:rPr>
          <w:rFonts w:ascii="Arial" w:hAnsi="Arial" w:cs="Arial"/>
          <w:sz w:val="22"/>
          <w:szCs w:val="22"/>
          <w:lang w:val="en-CA"/>
        </w:rPr>
        <w:t xml:space="preserve">ultural </w:t>
      </w:r>
      <w:r w:rsidR="008B172E">
        <w:rPr>
          <w:rFonts w:ascii="Arial" w:hAnsi="Arial" w:cs="Arial"/>
          <w:sz w:val="22"/>
          <w:szCs w:val="22"/>
          <w:lang w:val="en-CA"/>
        </w:rPr>
        <w:t>E</w:t>
      </w:r>
      <w:r>
        <w:rPr>
          <w:rFonts w:ascii="Arial" w:hAnsi="Arial" w:cs="Arial"/>
          <w:sz w:val="22"/>
          <w:szCs w:val="22"/>
          <w:lang w:val="en-CA"/>
        </w:rPr>
        <w:t xml:space="preserve">xpressions appears in the agreement between </w:t>
      </w:r>
      <w:r w:rsidR="008B172E">
        <w:rPr>
          <w:rFonts w:ascii="Arial" w:hAnsi="Arial" w:cs="Arial"/>
          <w:sz w:val="22"/>
          <w:szCs w:val="22"/>
          <w:lang w:val="en-CA"/>
        </w:rPr>
        <w:t xml:space="preserve">the </w:t>
      </w:r>
      <w:r>
        <w:rPr>
          <w:rFonts w:ascii="Arial" w:hAnsi="Arial" w:cs="Arial"/>
          <w:sz w:val="22"/>
          <w:szCs w:val="22"/>
          <w:lang w:val="en-CA"/>
        </w:rPr>
        <w:t xml:space="preserve">EU and Japan and no Protocol on Cultural Cooperation is included, </w:t>
      </w:r>
      <w:r w:rsidR="003E05AB">
        <w:rPr>
          <w:rFonts w:ascii="Arial" w:hAnsi="Arial" w:cs="Arial"/>
          <w:sz w:val="22"/>
          <w:szCs w:val="22"/>
          <w:lang w:val="en-CA"/>
        </w:rPr>
        <w:t>unlike</w:t>
      </w:r>
      <w:r>
        <w:rPr>
          <w:rFonts w:ascii="Arial" w:hAnsi="Arial" w:cs="Arial"/>
          <w:sz w:val="22"/>
          <w:szCs w:val="22"/>
          <w:lang w:val="en-CA"/>
        </w:rPr>
        <w:t xml:space="preserve"> the trade agreement</w:t>
      </w:r>
      <w:r w:rsidR="001C3EE9">
        <w:rPr>
          <w:rFonts w:ascii="Arial" w:hAnsi="Arial" w:cs="Arial"/>
          <w:sz w:val="22"/>
          <w:szCs w:val="22"/>
          <w:lang w:val="en-CA"/>
        </w:rPr>
        <w:t>s</w:t>
      </w:r>
      <w:r>
        <w:rPr>
          <w:rFonts w:ascii="Arial" w:hAnsi="Arial" w:cs="Arial"/>
          <w:sz w:val="22"/>
          <w:szCs w:val="22"/>
          <w:lang w:val="en-CA"/>
        </w:rPr>
        <w:t xml:space="preserve"> with South Korea, CARIFORUM or Central America. A key reason is the highly</w:t>
      </w:r>
      <w:r w:rsidR="00490BB1">
        <w:rPr>
          <w:rFonts w:ascii="Arial" w:hAnsi="Arial" w:cs="Arial"/>
          <w:sz w:val="22"/>
          <w:szCs w:val="22"/>
          <w:lang w:val="en-CA"/>
        </w:rPr>
        <w:t xml:space="preserve"> developed level of</w:t>
      </w:r>
      <w:r>
        <w:rPr>
          <w:rFonts w:ascii="Arial" w:hAnsi="Arial" w:cs="Arial"/>
          <w:sz w:val="22"/>
          <w:szCs w:val="22"/>
          <w:lang w:val="en-CA"/>
        </w:rPr>
        <w:t xml:space="preserve"> Japanese cultural industries and the international commitments of Japan, since the latter is not Party to the UNESCO Convention.   </w:t>
      </w:r>
    </w:p>
    <w:p w:rsidR="00FC7B28" w:rsidRPr="00FC7B28" w:rsidRDefault="00FC7B28" w:rsidP="00C85EA6">
      <w:pPr>
        <w:spacing w:beforeLines="120" w:before="288" w:afterLines="120" w:after="288" w:line="276" w:lineRule="auto"/>
        <w:ind w:left="425" w:right="714"/>
        <w:jc w:val="both"/>
        <w:rPr>
          <w:rFonts w:ascii="Arial" w:hAnsi="Arial" w:cs="Arial"/>
          <w:b/>
          <w:sz w:val="22"/>
          <w:szCs w:val="22"/>
          <w:lang w:val="en-CA"/>
        </w:rPr>
      </w:pPr>
      <w:r w:rsidRPr="00FC7B28">
        <w:rPr>
          <w:rFonts w:ascii="Arial" w:hAnsi="Arial" w:cs="Arial"/>
          <w:b/>
          <w:sz w:val="22"/>
          <w:szCs w:val="22"/>
          <w:lang w:val="en-CA"/>
        </w:rPr>
        <w:t xml:space="preserve">Agreement between </w:t>
      </w:r>
      <w:r w:rsidR="00710040">
        <w:rPr>
          <w:rFonts w:ascii="Arial" w:hAnsi="Arial" w:cs="Arial"/>
          <w:b/>
          <w:sz w:val="22"/>
          <w:szCs w:val="22"/>
          <w:lang w:val="en-CA"/>
        </w:rPr>
        <w:t xml:space="preserve">the </w:t>
      </w:r>
      <w:r w:rsidRPr="00FC7B28">
        <w:rPr>
          <w:rFonts w:ascii="Arial" w:hAnsi="Arial" w:cs="Arial"/>
          <w:b/>
          <w:sz w:val="22"/>
          <w:szCs w:val="22"/>
          <w:lang w:val="en-CA"/>
        </w:rPr>
        <w:t>EU and M</w:t>
      </w:r>
      <w:r w:rsidR="00710040">
        <w:rPr>
          <w:rFonts w:ascii="Arial" w:hAnsi="Arial" w:cs="Arial"/>
          <w:b/>
          <w:sz w:val="22"/>
          <w:szCs w:val="22"/>
          <w:lang w:val="en-CA"/>
        </w:rPr>
        <w:t>ERCOSUR</w:t>
      </w:r>
    </w:p>
    <w:p w:rsidR="00FC7B28" w:rsidRDefault="006D701E" w:rsidP="00C85EA6">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For information purposes, t</w:t>
      </w:r>
      <w:r w:rsidR="00FC7B28">
        <w:rPr>
          <w:rFonts w:ascii="Arial" w:hAnsi="Arial" w:cs="Arial"/>
          <w:sz w:val="22"/>
          <w:szCs w:val="22"/>
          <w:lang w:val="en-CA"/>
        </w:rPr>
        <w:t xml:space="preserve">he European Commission published </w:t>
      </w:r>
      <w:r w:rsidR="005D6B3B">
        <w:rPr>
          <w:rFonts w:ascii="Arial" w:hAnsi="Arial" w:cs="Arial"/>
          <w:sz w:val="22"/>
          <w:szCs w:val="22"/>
          <w:lang w:val="en-CA"/>
        </w:rPr>
        <w:t>29 unfinished</w:t>
      </w:r>
      <w:r w:rsidR="00FC7B28">
        <w:rPr>
          <w:rFonts w:ascii="Arial" w:hAnsi="Arial" w:cs="Arial"/>
          <w:sz w:val="22"/>
          <w:szCs w:val="22"/>
          <w:lang w:val="en-CA"/>
        </w:rPr>
        <w:t xml:space="preserve"> </w:t>
      </w:r>
      <w:hyperlink r:id="rId14" w:history="1">
        <w:r w:rsidR="00FC7B28" w:rsidRPr="00E762E2">
          <w:rPr>
            <w:rStyle w:val="Hyperlink"/>
            <w:rFonts w:ascii="Arial" w:hAnsi="Arial" w:cs="Arial"/>
            <w:sz w:val="22"/>
            <w:szCs w:val="22"/>
            <w:lang w:val="en-CA"/>
          </w:rPr>
          <w:t>texts</w:t>
        </w:r>
      </w:hyperlink>
      <w:r w:rsidR="00FC7B28">
        <w:rPr>
          <w:rFonts w:ascii="Arial" w:hAnsi="Arial" w:cs="Arial"/>
          <w:sz w:val="22"/>
          <w:szCs w:val="22"/>
          <w:lang w:val="en-CA"/>
        </w:rPr>
        <w:t xml:space="preserve"> of the </w:t>
      </w:r>
      <w:r w:rsidR="005D6B3B">
        <w:rPr>
          <w:rFonts w:ascii="Arial" w:hAnsi="Arial" w:cs="Arial"/>
          <w:sz w:val="22"/>
          <w:szCs w:val="22"/>
          <w:lang w:val="en-CA"/>
        </w:rPr>
        <w:t>chapters and annexes of the Trade Part</w:t>
      </w:r>
      <w:r w:rsidR="00FC7B28">
        <w:rPr>
          <w:rFonts w:ascii="Arial" w:hAnsi="Arial" w:cs="Arial"/>
          <w:sz w:val="22"/>
          <w:szCs w:val="22"/>
          <w:lang w:val="en-CA"/>
        </w:rPr>
        <w:t xml:space="preserve"> of the </w:t>
      </w:r>
      <w:r w:rsidR="00A82190">
        <w:rPr>
          <w:rFonts w:ascii="Arial" w:hAnsi="Arial" w:cs="Arial"/>
          <w:sz w:val="22"/>
          <w:szCs w:val="22"/>
          <w:lang w:val="en-CA"/>
        </w:rPr>
        <w:t>a</w:t>
      </w:r>
      <w:r w:rsidR="00FC7B28">
        <w:rPr>
          <w:rFonts w:ascii="Arial" w:hAnsi="Arial" w:cs="Arial"/>
          <w:sz w:val="22"/>
          <w:szCs w:val="22"/>
          <w:lang w:val="en-CA"/>
        </w:rPr>
        <w:t xml:space="preserve">greement between </w:t>
      </w:r>
      <w:r w:rsidR="00945025">
        <w:rPr>
          <w:rFonts w:ascii="Arial" w:hAnsi="Arial" w:cs="Arial"/>
          <w:sz w:val="22"/>
          <w:szCs w:val="22"/>
          <w:lang w:val="en-CA"/>
        </w:rPr>
        <w:t xml:space="preserve">the </w:t>
      </w:r>
      <w:r w:rsidR="00FC7B28">
        <w:rPr>
          <w:rFonts w:ascii="Arial" w:hAnsi="Arial" w:cs="Arial"/>
          <w:sz w:val="22"/>
          <w:szCs w:val="22"/>
          <w:lang w:val="en-CA"/>
        </w:rPr>
        <w:t>EU and M</w:t>
      </w:r>
      <w:r w:rsidR="00945025">
        <w:rPr>
          <w:rFonts w:ascii="Arial" w:hAnsi="Arial" w:cs="Arial"/>
          <w:sz w:val="22"/>
          <w:szCs w:val="22"/>
          <w:lang w:val="en-CA"/>
        </w:rPr>
        <w:t xml:space="preserve">ERCOSUR </w:t>
      </w:r>
      <w:r w:rsidR="00FC7B28">
        <w:rPr>
          <w:rFonts w:ascii="Arial" w:hAnsi="Arial" w:cs="Arial"/>
          <w:sz w:val="22"/>
          <w:szCs w:val="22"/>
          <w:lang w:val="en-CA"/>
        </w:rPr>
        <w:t xml:space="preserve">following the </w:t>
      </w:r>
      <w:hyperlink r:id="rId15" w:history="1">
        <w:r w:rsidR="00FC7B28" w:rsidRPr="00667942">
          <w:rPr>
            <w:rStyle w:val="Hyperlink"/>
            <w:rFonts w:ascii="Arial" w:hAnsi="Arial" w:cs="Arial"/>
            <w:sz w:val="22"/>
            <w:szCs w:val="22"/>
            <w:lang w:val="en-CA"/>
          </w:rPr>
          <w:t>agreement in principle</w:t>
        </w:r>
      </w:hyperlink>
      <w:r w:rsidR="00FC7B28">
        <w:rPr>
          <w:rFonts w:ascii="Arial" w:hAnsi="Arial" w:cs="Arial"/>
          <w:sz w:val="22"/>
          <w:szCs w:val="22"/>
          <w:lang w:val="en-CA"/>
        </w:rPr>
        <w:t xml:space="preserve"> announced on 28 June 2019</w:t>
      </w:r>
      <w:r w:rsidR="00B359EE">
        <w:rPr>
          <w:rFonts w:ascii="Arial" w:hAnsi="Arial" w:cs="Arial"/>
          <w:sz w:val="22"/>
          <w:szCs w:val="22"/>
          <w:lang w:val="en-CA"/>
        </w:rPr>
        <w:t>.</w:t>
      </w:r>
      <w:r w:rsidR="00FC7B28">
        <w:rPr>
          <w:rFonts w:ascii="Arial" w:hAnsi="Arial" w:cs="Arial"/>
          <w:sz w:val="22"/>
          <w:szCs w:val="22"/>
          <w:lang w:val="en-CA"/>
        </w:rPr>
        <w:t xml:space="preserve"> </w:t>
      </w:r>
      <w:r w:rsidR="00B359EE">
        <w:rPr>
          <w:rFonts w:ascii="Arial" w:hAnsi="Arial" w:cs="Arial"/>
          <w:sz w:val="22"/>
          <w:szCs w:val="22"/>
          <w:lang w:val="en-CA"/>
        </w:rPr>
        <w:t>T</w:t>
      </w:r>
      <w:r w:rsidR="00D6701E">
        <w:rPr>
          <w:rFonts w:ascii="Arial" w:hAnsi="Arial" w:cs="Arial"/>
          <w:sz w:val="22"/>
          <w:szCs w:val="22"/>
          <w:lang w:val="en-CA"/>
        </w:rPr>
        <w:t>hese texts may undergo further modifications including as a result of the process of legal revision</w:t>
      </w:r>
      <w:r w:rsidR="00B359EE">
        <w:rPr>
          <w:rFonts w:ascii="Arial" w:hAnsi="Arial" w:cs="Arial"/>
          <w:sz w:val="22"/>
          <w:szCs w:val="22"/>
          <w:lang w:val="en-CA"/>
        </w:rPr>
        <w:t xml:space="preserve"> of the agreed text</w:t>
      </w:r>
      <w:r w:rsidR="00D6701E">
        <w:rPr>
          <w:rFonts w:ascii="Arial" w:hAnsi="Arial" w:cs="Arial"/>
          <w:sz w:val="22"/>
          <w:szCs w:val="22"/>
          <w:lang w:val="en-CA"/>
        </w:rPr>
        <w:t>.</w:t>
      </w:r>
      <w:r w:rsidR="00B359EE">
        <w:rPr>
          <w:rFonts w:ascii="Arial" w:hAnsi="Arial" w:cs="Arial"/>
          <w:sz w:val="22"/>
          <w:szCs w:val="22"/>
          <w:lang w:val="en-CA"/>
        </w:rPr>
        <w:t xml:space="preserve"> </w:t>
      </w:r>
      <w:r w:rsidR="00945025">
        <w:rPr>
          <w:rFonts w:ascii="Arial" w:hAnsi="Arial" w:cs="Arial"/>
          <w:sz w:val="22"/>
          <w:szCs w:val="22"/>
          <w:lang w:val="en-CA"/>
        </w:rPr>
        <w:t>T</w:t>
      </w:r>
      <w:r w:rsidR="00B359EE">
        <w:rPr>
          <w:rFonts w:ascii="Arial" w:hAnsi="Arial" w:cs="Arial"/>
          <w:sz w:val="22"/>
          <w:szCs w:val="22"/>
          <w:lang w:val="en-CA"/>
        </w:rPr>
        <w:t xml:space="preserve">he agreement has not yet been ratified at EU and Member States levels. </w:t>
      </w:r>
      <w:r w:rsidR="00D6701E">
        <w:rPr>
          <w:rFonts w:ascii="Arial" w:hAnsi="Arial" w:cs="Arial"/>
          <w:sz w:val="22"/>
          <w:szCs w:val="22"/>
          <w:lang w:val="en-CA"/>
        </w:rPr>
        <w:t xml:space="preserve"> </w:t>
      </w:r>
    </w:p>
    <w:p w:rsidR="00E762E2" w:rsidRDefault="00D6701E" w:rsidP="00E762E2">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So far,</w:t>
      </w:r>
      <w:r w:rsidR="00696C98">
        <w:rPr>
          <w:rFonts w:ascii="Arial" w:hAnsi="Arial" w:cs="Arial"/>
          <w:sz w:val="22"/>
          <w:szCs w:val="22"/>
          <w:lang w:val="en-CA"/>
        </w:rPr>
        <w:t xml:space="preserve"> with respect to cultural sectors,</w:t>
      </w:r>
      <w:r>
        <w:rPr>
          <w:rFonts w:ascii="Arial" w:hAnsi="Arial" w:cs="Arial"/>
          <w:sz w:val="22"/>
          <w:szCs w:val="22"/>
          <w:lang w:val="en-CA"/>
        </w:rPr>
        <w:t xml:space="preserve"> the</w:t>
      </w:r>
      <w:r w:rsidR="00797D31">
        <w:rPr>
          <w:rFonts w:ascii="Arial" w:hAnsi="Arial" w:cs="Arial"/>
          <w:sz w:val="22"/>
          <w:szCs w:val="22"/>
          <w:lang w:val="en-CA"/>
        </w:rPr>
        <w:t xml:space="preserve"> </w:t>
      </w:r>
      <w:r>
        <w:rPr>
          <w:rFonts w:ascii="Arial" w:hAnsi="Arial" w:cs="Arial"/>
          <w:sz w:val="22"/>
          <w:szCs w:val="22"/>
          <w:lang w:val="en-CA"/>
        </w:rPr>
        <w:t>exceptions i</w:t>
      </w:r>
      <w:r w:rsidR="00B97C2F">
        <w:rPr>
          <w:rFonts w:ascii="Arial" w:hAnsi="Arial" w:cs="Arial"/>
          <w:sz w:val="22"/>
          <w:szCs w:val="22"/>
          <w:lang w:val="en-CA"/>
        </w:rPr>
        <w:t>ncorporated</w:t>
      </w:r>
      <w:r>
        <w:rPr>
          <w:rFonts w:ascii="Arial" w:hAnsi="Arial" w:cs="Arial"/>
          <w:sz w:val="22"/>
          <w:szCs w:val="22"/>
          <w:lang w:val="en-CA"/>
        </w:rPr>
        <w:t xml:space="preserve"> </w:t>
      </w:r>
      <w:r w:rsidR="00797D31">
        <w:rPr>
          <w:rFonts w:ascii="Arial" w:hAnsi="Arial" w:cs="Arial"/>
          <w:sz w:val="22"/>
          <w:szCs w:val="22"/>
          <w:lang w:val="en-CA"/>
        </w:rPr>
        <w:t xml:space="preserve">in the </w:t>
      </w:r>
      <w:r w:rsidR="00A82190">
        <w:rPr>
          <w:rFonts w:ascii="Arial" w:hAnsi="Arial" w:cs="Arial"/>
          <w:sz w:val="22"/>
          <w:szCs w:val="22"/>
          <w:lang w:val="en-CA"/>
        </w:rPr>
        <w:t>a</w:t>
      </w:r>
      <w:r w:rsidR="00797D31">
        <w:rPr>
          <w:rFonts w:ascii="Arial" w:hAnsi="Arial" w:cs="Arial"/>
          <w:sz w:val="22"/>
          <w:szCs w:val="22"/>
          <w:lang w:val="en-CA"/>
        </w:rPr>
        <w:t xml:space="preserve">greement between </w:t>
      </w:r>
      <w:r w:rsidR="00945025">
        <w:rPr>
          <w:rFonts w:ascii="Arial" w:hAnsi="Arial" w:cs="Arial"/>
          <w:sz w:val="22"/>
          <w:szCs w:val="22"/>
          <w:lang w:val="en-CA"/>
        </w:rPr>
        <w:t xml:space="preserve">the </w:t>
      </w:r>
      <w:r w:rsidR="00797D31">
        <w:rPr>
          <w:rFonts w:ascii="Arial" w:hAnsi="Arial" w:cs="Arial"/>
          <w:sz w:val="22"/>
          <w:szCs w:val="22"/>
          <w:lang w:val="en-CA"/>
        </w:rPr>
        <w:t>EU and M</w:t>
      </w:r>
      <w:r w:rsidR="00945025">
        <w:rPr>
          <w:rFonts w:ascii="Arial" w:hAnsi="Arial" w:cs="Arial"/>
          <w:sz w:val="22"/>
          <w:szCs w:val="22"/>
          <w:lang w:val="en-CA"/>
        </w:rPr>
        <w:t xml:space="preserve">ERCOSUR </w:t>
      </w:r>
      <w:r w:rsidR="00797D31">
        <w:rPr>
          <w:rFonts w:ascii="Arial" w:hAnsi="Arial" w:cs="Arial"/>
          <w:sz w:val="22"/>
          <w:szCs w:val="22"/>
          <w:lang w:val="en-CA"/>
        </w:rPr>
        <w:t xml:space="preserve">have strong similarities to those </w:t>
      </w:r>
      <w:r w:rsidR="001F629D">
        <w:rPr>
          <w:rFonts w:ascii="Arial" w:hAnsi="Arial" w:cs="Arial"/>
          <w:sz w:val="22"/>
          <w:szCs w:val="22"/>
          <w:lang w:val="en-CA"/>
        </w:rPr>
        <w:t>contained</w:t>
      </w:r>
      <w:r w:rsidR="00797D31">
        <w:rPr>
          <w:rFonts w:ascii="Arial" w:hAnsi="Arial" w:cs="Arial"/>
          <w:sz w:val="22"/>
          <w:szCs w:val="22"/>
          <w:lang w:val="en-CA"/>
        </w:rPr>
        <w:t xml:space="preserve"> in the </w:t>
      </w:r>
      <w:r w:rsidR="00A82190">
        <w:rPr>
          <w:rFonts w:ascii="Arial" w:hAnsi="Arial" w:cs="Arial"/>
          <w:sz w:val="22"/>
          <w:szCs w:val="22"/>
          <w:lang w:val="en-CA"/>
        </w:rPr>
        <w:t>a</w:t>
      </w:r>
      <w:r w:rsidR="00797D31">
        <w:rPr>
          <w:rFonts w:ascii="Arial" w:hAnsi="Arial" w:cs="Arial"/>
          <w:sz w:val="22"/>
          <w:szCs w:val="22"/>
          <w:lang w:val="en-CA"/>
        </w:rPr>
        <w:t>greement between EU and Japan. In this view,</w:t>
      </w:r>
      <w:r w:rsidR="002A5A59">
        <w:rPr>
          <w:rFonts w:ascii="Arial" w:hAnsi="Arial" w:cs="Arial"/>
          <w:sz w:val="22"/>
          <w:szCs w:val="22"/>
          <w:lang w:val="en-CA"/>
        </w:rPr>
        <w:t xml:space="preserve"> in the </w:t>
      </w:r>
      <w:r w:rsidR="00A82190">
        <w:rPr>
          <w:rFonts w:ascii="Arial" w:hAnsi="Arial" w:cs="Arial"/>
          <w:sz w:val="22"/>
          <w:szCs w:val="22"/>
          <w:lang w:val="en-CA"/>
        </w:rPr>
        <w:t>c</w:t>
      </w:r>
      <w:r w:rsidR="002A5A59">
        <w:rPr>
          <w:rFonts w:ascii="Arial" w:hAnsi="Arial" w:cs="Arial"/>
          <w:sz w:val="22"/>
          <w:szCs w:val="22"/>
          <w:lang w:val="en-CA"/>
        </w:rPr>
        <w:t xml:space="preserve">hapter on </w:t>
      </w:r>
      <w:hyperlink r:id="rId16" w:history="1">
        <w:r w:rsidR="002A5A59" w:rsidRPr="00E762E2">
          <w:rPr>
            <w:rStyle w:val="Hyperlink"/>
            <w:rFonts w:ascii="Arial" w:hAnsi="Arial" w:cs="Arial"/>
            <w:sz w:val="22"/>
            <w:szCs w:val="22"/>
            <w:lang w:val="en-CA"/>
          </w:rPr>
          <w:t>“Trade in Services and Establishment”</w:t>
        </w:r>
      </w:hyperlink>
      <w:r w:rsidR="002A5A59">
        <w:rPr>
          <w:rFonts w:ascii="Arial" w:hAnsi="Arial" w:cs="Arial"/>
          <w:sz w:val="22"/>
          <w:szCs w:val="22"/>
          <w:lang w:val="en-CA"/>
        </w:rPr>
        <w:t xml:space="preserve">, the Parties stress that this </w:t>
      </w:r>
      <w:r w:rsidR="00A82190">
        <w:rPr>
          <w:rFonts w:ascii="Arial" w:hAnsi="Arial" w:cs="Arial"/>
          <w:sz w:val="22"/>
          <w:szCs w:val="22"/>
          <w:lang w:val="en-CA"/>
        </w:rPr>
        <w:t>c</w:t>
      </w:r>
      <w:r w:rsidR="002A5A59">
        <w:rPr>
          <w:rFonts w:ascii="Arial" w:hAnsi="Arial" w:cs="Arial"/>
          <w:sz w:val="22"/>
          <w:szCs w:val="22"/>
          <w:lang w:val="en-CA"/>
        </w:rPr>
        <w:t xml:space="preserve">hapter applies to measures of the Parties “affecting trade in services and establishment, with the exception of </w:t>
      </w:r>
      <w:r w:rsidR="00A82190">
        <w:rPr>
          <w:rFonts w:ascii="Arial" w:hAnsi="Arial" w:cs="Arial"/>
          <w:sz w:val="22"/>
          <w:szCs w:val="22"/>
          <w:lang w:val="en-CA"/>
        </w:rPr>
        <w:t>[</w:t>
      </w:r>
      <w:r w:rsidR="002A5A59">
        <w:rPr>
          <w:rFonts w:ascii="Arial" w:hAnsi="Arial" w:cs="Arial"/>
          <w:sz w:val="22"/>
          <w:szCs w:val="22"/>
          <w:lang w:val="en-CA"/>
        </w:rPr>
        <w:t>…</w:t>
      </w:r>
      <w:r w:rsidR="00A82190">
        <w:rPr>
          <w:rFonts w:ascii="Arial" w:hAnsi="Arial" w:cs="Arial"/>
          <w:sz w:val="22"/>
          <w:szCs w:val="22"/>
          <w:lang w:val="en-CA"/>
        </w:rPr>
        <w:t>]</w:t>
      </w:r>
      <w:r w:rsidR="002A5A59">
        <w:rPr>
          <w:rFonts w:ascii="Arial" w:hAnsi="Arial" w:cs="Arial"/>
          <w:sz w:val="22"/>
          <w:szCs w:val="22"/>
          <w:lang w:val="en-CA"/>
        </w:rPr>
        <w:t xml:space="preserve"> audiovisual services” (Article 1).</w:t>
      </w:r>
      <w:r w:rsidR="00797D31">
        <w:rPr>
          <w:rFonts w:ascii="Arial" w:hAnsi="Arial" w:cs="Arial"/>
          <w:sz w:val="22"/>
          <w:szCs w:val="22"/>
          <w:lang w:val="en-CA"/>
        </w:rPr>
        <w:t xml:space="preserve"> </w:t>
      </w:r>
      <w:r w:rsidR="002A5A59">
        <w:rPr>
          <w:rFonts w:ascii="Arial" w:hAnsi="Arial" w:cs="Arial"/>
          <w:sz w:val="22"/>
          <w:szCs w:val="22"/>
          <w:lang w:val="en-CA"/>
        </w:rPr>
        <w:t>I</w:t>
      </w:r>
      <w:r w:rsidR="00797D31">
        <w:rPr>
          <w:rFonts w:ascii="Arial" w:hAnsi="Arial" w:cs="Arial"/>
          <w:sz w:val="22"/>
          <w:szCs w:val="22"/>
          <w:lang w:val="en-CA"/>
        </w:rPr>
        <w:t xml:space="preserve">n the </w:t>
      </w:r>
      <w:r w:rsidR="00A82190">
        <w:rPr>
          <w:rFonts w:ascii="Arial" w:hAnsi="Arial" w:cs="Arial"/>
          <w:sz w:val="22"/>
          <w:szCs w:val="22"/>
          <w:lang w:val="en-CA"/>
        </w:rPr>
        <w:t>s</w:t>
      </w:r>
      <w:r w:rsidR="00797D31">
        <w:rPr>
          <w:rFonts w:ascii="Arial" w:hAnsi="Arial" w:cs="Arial"/>
          <w:sz w:val="22"/>
          <w:szCs w:val="22"/>
          <w:lang w:val="en-CA"/>
        </w:rPr>
        <w:t xml:space="preserve">ub-section 6 on </w:t>
      </w:r>
      <w:r w:rsidR="00A82190">
        <w:rPr>
          <w:rFonts w:ascii="Arial" w:hAnsi="Arial" w:cs="Arial"/>
          <w:sz w:val="22"/>
          <w:szCs w:val="22"/>
          <w:lang w:val="en-CA"/>
        </w:rPr>
        <w:t>e</w:t>
      </w:r>
      <w:r w:rsidR="00797D31">
        <w:rPr>
          <w:rFonts w:ascii="Arial" w:hAnsi="Arial" w:cs="Arial"/>
          <w:sz w:val="22"/>
          <w:szCs w:val="22"/>
          <w:lang w:val="en-CA"/>
        </w:rPr>
        <w:t>-commerce, the Parties mention that this section shall “</w:t>
      </w:r>
      <w:r w:rsidR="0017543D">
        <w:rPr>
          <w:rFonts w:ascii="Arial" w:hAnsi="Arial" w:cs="Arial"/>
          <w:sz w:val="22"/>
          <w:szCs w:val="22"/>
          <w:lang w:val="en-CA"/>
        </w:rPr>
        <w:t>apply</w:t>
      </w:r>
      <w:r w:rsidR="00797D31">
        <w:rPr>
          <w:rFonts w:ascii="Arial" w:hAnsi="Arial" w:cs="Arial"/>
          <w:sz w:val="22"/>
          <w:szCs w:val="22"/>
          <w:lang w:val="en-CA"/>
        </w:rPr>
        <w:t xml:space="preserve"> to measures that affect trade by electronic means”, but the provisions of this section “shall not apply to </w:t>
      </w:r>
      <w:r w:rsidR="00A82190">
        <w:rPr>
          <w:rFonts w:ascii="Arial" w:hAnsi="Arial" w:cs="Arial"/>
          <w:sz w:val="22"/>
          <w:szCs w:val="22"/>
          <w:lang w:val="en-CA"/>
        </w:rPr>
        <w:t>[</w:t>
      </w:r>
      <w:r w:rsidR="00797D31">
        <w:rPr>
          <w:rFonts w:ascii="Arial" w:hAnsi="Arial" w:cs="Arial"/>
          <w:sz w:val="22"/>
          <w:szCs w:val="22"/>
          <w:lang w:val="en-CA"/>
        </w:rPr>
        <w:t>…</w:t>
      </w:r>
      <w:r w:rsidR="00A82190">
        <w:rPr>
          <w:rFonts w:ascii="Arial" w:hAnsi="Arial" w:cs="Arial"/>
          <w:sz w:val="22"/>
          <w:szCs w:val="22"/>
          <w:lang w:val="en-CA"/>
        </w:rPr>
        <w:t>]</w:t>
      </w:r>
      <w:r w:rsidR="00797D31">
        <w:rPr>
          <w:rFonts w:ascii="Arial" w:hAnsi="Arial" w:cs="Arial"/>
          <w:sz w:val="22"/>
          <w:szCs w:val="22"/>
          <w:lang w:val="en-CA"/>
        </w:rPr>
        <w:t xml:space="preserve"> broadcasting services</w:t>
      </w:r>
      <w:r w:rsidR="00696C98">
        <w:rPr>
          <w:rFonts w:ascii="Arial" w:hAnsi="Arial" w:cs="Arial"/>
          <w:sz w:val="22"/>
          <w:szCs w:val="22"/>
          <w:lang w:val="en-CA"/>
        </w:rPr>
        <w:t xml:space="preserve"> and</w:t>
      </w:r>
      <w:r w:rsidR="00797D31">
        <w:rPr>
          <w:rFonts w:ascii="Arial" w:hAnsi="Arial" w:cs="Arial"/>
          <w:sz w:val="22"/>
          <w:szCs w:val="22"/>
          <w:lang w:val="en-CA"/>
        </w:rPr>
        <w:t xml:space="preserve"> audio-visual services</w:t>
      </w:r>
      <w:r w:rsidR="00696C98">
        <w:rPr>
          <w:rFonts w:ascii="Arial" w:hAnsi="Arial" w:cs="Arial"/>
          <w:sz w:val="22"/>
          <w:szCs w:val="22"/>
          <w:lang w:val="en-CA"/>
        </w:rPr>
        <w:t>”</w:t>
      </w:r>
      <w:r w:rsidR="0017543D">
        <w:rPr>
          <w:rFonts w:ascii="Arial" w:hAnsi="Arial" w:cs="Arial"/>
          <w:sz w:val="22"/>
          <w:szCs w:val="22"/>
          <w:lang w:val="en-CA"/>
        </w:rPr>
        <w:t xml:space="preserve"> (Article 42). In addition,</w:t>
      </w:r>
      <w:r w:rsidR="00797D31">
        <w:rPr>
          <w:rFonts w:ascii="Arial" w:hAnsi="Arial" w:cs="Arial"/>
          <w:sz w:val="22"/>
          <w:szCs w:val="22"/>
          <w:lang w:val="en-CA"/>
        </w:rPr>
        <w:t xml:space="preserve"> they recogni</w:t>
      </w:r>
      <w:r w:rsidR="00A82190">
        <w:rPr>
          <w:rFonts w:ascii="Arial" w:hAnsi="Arial" w:cs="Arial"/>
          <w:sz w:val="22"/>
          <w:szCs w:val="22"/>
          <w:lang w:val="en-CA"/>
        </w:rPr>
        <w:t>z</w:t>
      </w:r>
      <w:r w:rsidR="00797D31">
        <w:rPr>
          <w:rFonts w:ascii="Arial" w:hAnsi="Arial" w:cs="Arial"/>
          <w:sz w:val="22"/>
          <w:szCs w:val="22"/>
          <w:lang w:val="en-CA"/>
        </w:rPr>
        <w:t>e the principle of technological neutrality in electronic commerce.</w:t>
      </w:r>
      <w:r w:rsidR="0017543D">
        <w:rPr>
          <w:rFonts w:ascii="Arial" w:hAnsi="Arial" w:cs="Arial"/>
          <w:sz w:val="22"/>
          <w:szCs w:val="22"/>
          <w:lang w:val="en-CA"/>
        </w:rPr>
        <w:t xml:space="preserve"> </w:t>
      </w:r>
    </w:p>
    <w:p w:rsidR="00D73ED9" w:rsidRDefault="00BC4B9C" w:rsidP="00BC4B9C">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 xml:space="preserve">Regarding the </w:t>
      </w:r>
      <w:r w:rsidR="00537E1A">
        <w:rPr>
          <w:rFonts w:ascii="Arial" w:hAnsi="Arial" w:cs="Arial"/>
          <w:sz w:val="22"/>
          <w:szCs w:val="22"/>
          <w:lang w:val="en-CA"/>
        </w:rPr>
        <w:t>c</w:t>
      </w:r>
      <w:r>
        <w:rPr>
          <w:rFonts w:ascii="Arial" w:hAnsi="Arial" w:cs="Arial"/>
          <w:sz w:val="22"/>
          <w:szCs w:val="22"/>
          <w:lang w:val="en-CA"/>
        </w:rPr>
        <w:t xml:space="preserve">hapter on </w:t>
      </w:r>
      <w:hyperlink r:id="rId17" w:history="1">
        <w:r w:rsidR="0099521F" w:rsidRPr="00425197">
          <w:rPr>
            <w:rStyle w:val="Hyperlink"/>
            <w:rFonts w:ascii="Arial" w:hAnsi="Arial" w:cs="Arial"/>
            <w:sz w:val="22"/>
            <w:szCs w:val="22"/>
            <w:lang w:val="en-CA"/>
          </w:rPr>
          <w:t>“</w:t>
        </w:r>
        <w:r w:rsidRPr="00425197">
          <w:rPr>
            <w:rStyle w:val="Hyperlink"/>
            <w:rFonts w:ascii="Arial" w:hAnsi="Arial" w:cs="Arial"/>
            <w:sz w:val="22"/>
            <w:szCs w:val="22"/>
            <w:lang w:val="en-CA"/>
          </w:rPr>
          <w:t>Intellectual Property</w:t>
        </w:r>
        <w:r w:rsidR="0099521F" w:rsidRPr="00425197">
          <w:rPr>
            <w:rStyle w:val="Hyperlink"/>
            <w:rFonts w:ascii="Arial" w:hAnsi="Arial" w:cs="Arial"/>
            <w:sz w:val="22"/>
            <w:szCs w:val="22"/>
            <w:lang w:val="en-CA"/>
          </w:rPr>
          <w:t>”</w:t>
        </w:r>
      </w:hyperlink>
      <w:r>
        <w:rPr>
          <w:rFonts w:ascii="Arial" w:hAnsi="Arial" w:cs="Arial"/>
          <w:sz w:val="22"/>
          <w:szCs w:val="22"/>
          <w:lang w:val="en-CA"/>
        </w:rPr>
        <w:t xml:space="preserve">, the </w:t>
      </w:r>
      <w:r w:rsidR="00537E1A">
        <w:rPr>
          <w:rFonts w:ascii="Arial" w:hAnsi="Arial" w:cs="Arial"/>
          <w:sz w:val="22"/>
          <w:szCs w:val="22"/>
          <w:lang w:val="en-CA"/>
        </w:rPr>
        <w:t>a</w:t>
      </w:r>
      <w:r>
        <w:rPr>
          <w:rFonts w:ascii="Arial" w:hAnsi="Arial" w:cs="Arial"/>
          <w:sz w:val="22"/>
          <w:szCs w:val="22"/>
          <w:lang w:val="en-CA"/>
        </w:rPr>
        <w:t>greement inc</w:t>
      </w:r>
      <w:r w:rsidR="00B97C2F">
        <w:rPr>
          <w:rFonts w:ascii="Arial" w:hAnsi="Arial" w:cs="Arial"/>
          <w:sz w:val="22"/>
          <w:szCs w:val="22"/>
          <w:lang w:val="en-CA"/>
        </w:rPr>
        <w:t>orporates</w:t>
      </w:r>
      <w:r>
        <w:rPr>
          <w:rFonts w:ascii="Arial" w:hAnsi="Arial" w:cs="Arial"/>
          <w:sz w:val="22"/>
          <w:szCs w:val="22"/>
          <w:lang w:val="en-CA"/>
        </w:rPr>
        <w:t xml:space="preserve"> </w:t>
      </w:r>
      <w:r w:rsidR="00537E1A">
        <w:rPr>
          <w:rFonts w:ascii="Arial" w:hAnsi="Arial" w:cs="Arial"/>
          <w:sz w:val="22"/>
          <w:szCs w:val="22"/>
          <w:lang w:val="en-CA"/>
        </w:rPr>
        <w:t xml:space="preserve">both </w:t>
      </w:r>
      <w:r>
        <w:rPr>
          <w:rFonts w:ascii="Arial" w:hAnsi="Arial" w:cs="Arial"/>
          <w:sz w:val="22"/>
          <w:szCs w:val="22"/>
          <w:lang w:val="en-CA"/>
        </w:rPr>
        <w:t>similar</w:t>
      </w:r>
      <w:r w:rsidR="002E7AB1">
        <w:rPr>
          <w:rFonts w:ascii="Arial" w:hAnsi="Arial" w:cs="Arial"/>
          <w:sz w:val="22"/>
          <w:szCs w:val="22"/>
          <w:lang w:val="en-CA"/>
        </w:rPr>
        <w:t xml:space="preserve"> and different</w:t>
      </w:r>
      <w:r>
        <w:rPr>
          <w:rFonts w:ascii="Arial" w:hAnsi="Arial" w:cs="Arial"/>
          <w:sz w:val="22"/>
          <w:szCs w:val="22"/>
          <w:lang w:val="en-CA"/>
        </w:rPr>
        <w:t xml:space="preserve"> provisions to those</w:t>
      </w:r>
      <w:r w:rsidR="00B97C2F">
        <w:rPr>
          <w:rFonts w:ascii="Arial" w:hAnsi="Arial" w:cs="Arial"/>
          <w:sz w:val="22"/>
          <w:szCs w:val="22"/>
          <w:lang w:val="en-CA"/>
        </w:rPr>
        <w:t xml:space="preserve"> included</w:t>
      </w:r>
      <w:r>
        <w:rPr>
          <w:rFonts w:ascii="Arial" w:hAnsi="Arial" w:cs="Arial"/>
          <w:sz w:val="22"/>
          <w:szCs w:val="22"/>
          <w:lang w:val="en-CA"/>
        </w:rPr>
        <w:t xml:space="preserve"> in the agreement between </w:t>
      </w:r>
      <w:r w:rsidR="00537E1A">
        <w:rPr>
          <w:rFonts w:ascii="Arial" w:hAnsi="Arial" w:cs="Arial"/>
          <w:sz w:val="22"/>
          <w:szCs w:val="22"/>
          <w:lang w:val="en-CA"/>
        </w:rPr>
        <w:t xml:space="preserve">the </w:t>
      </w:r>
      <w:r>
        <w:rPr>
          <w:rFonts w:ascii="Arial" w:hAnsi="Arial" w:cs="Arial"/>
          <w:sz w:val="22"/>
          <w:szCs w:val="22"/>
          <w:lang w:val="en-CA"/>
        </w:rPr>
        <w:t>EU and Japan.</w:t>
      </w:r>
      <w:r w:rsidR="00DA50E0">
        <w:rPr>
          <w:rFonts w:ascii="Arial" w:hAnsi="Arial" w:cs="Arial"/>
          <w:sz w:val="22"/>
          <w:szCs w:val="22"/>
          <w:lang w:val="en-CA"/>
        </w:rPr>
        <w:t xml:space="preserve"> In this respect, </w:t>
      </w:r>
      <w:r w:rsidR="00537E1A">
        <w:rPr>
          <w:rFonts w:ascii="Arial" w:hAnsi="Arial" w:cs="Arial"/>
          <w:sz w:val="22"/>
          <w:szCs w:val="22"/>
          <w:lang w:val="en-CA"/>
        </w:rPr>
        <w:t>a</w:t>
      </w:r>
      <w:r>
        <w:rPr>
          <w:rFonts w:ascii="Arial" w:hAnsi="Arial" w:cs="Arial"/>
          <w:sz w:val="22"/>
          <w:szCs w:val="22"/>
          <w:lang w:val="en-CA"/>
        </w:rPr>
        <w:t>rticle X.10 defines copyright and related rights for authors, performers, producers of phonograms, broadcasting organizations</w:t>
      </w:r>
      <w:r w:rsidR="00DA50E0">
        <w:rPr>
          <w:rFonts w:ascii="Arial" w:hAnsi="Arial" w:cs="Arial"/>
          <w:sz w:val="22"/>
          <w:szCs w:val="22"/>
          <w:lang w:val="en-CA"/>
        </w:rPr>
        <w:t>, but</w:t>
      </w:r>
      <w:r>
        <w:rPr>
          <w:rFonts w:ascii="Arial" w:hAnsi="Arial" w:cs="Arial"/>
          <w:sz w:val="22"/>
          <w:szCs w:val="22"/>
          <w:lang w:val="en-CA"/>
        </w:rPr>
        <w:t xml:space="preserve"> </w:t>
      </w:r>
      <w:r w:rsidR="002E7AB1">
        <w:rPr>
          <w:rFonts w:ascii="Arial" w:hAnsi="Arial" w:cs="Arial"/>
          <w:sz w:val="22"/>
          <w:szCs w:val="22"/>
          <w:lang w:val="en-CA"/>
        </w:rPr>
        <w:t xml:space="preserve">It is interesting to note that </w:t>
      </w:r>
      <w:r w:rsidR="00537E1A">
        <w:rPr>
          <w:rFonts w:ascii="Arial" w:hAnsi="Arial" w:cs="Arial"/>
          <w:sz w:val="22"/>
          <w:szCs w:val="22"/>
          <w:lang w:val="en-CA"/>
        </w:rPr>
        <w:t>a</w:t>
      </w:r>
      <w:r w:rsidR="002E7AB1">
        <w:rPr>
          <w:rFonts w:ascii="Arial" w:hAnsi="Arial" w:cs="Arial"/>
          <w:sz w:val="22"/>
          <w:szCs w:val="22"/>
          <w:lang w:val="en-CA"/>
        </w:rPr>
        <w:t>rticle X.14 st</w:t>
      </w:r>
      <w:r w:rsidR="0002356F">
        <w:rPr>
          <w:rFonts w:ascii="Arial" w:hAnsi="Arial" w:cs="Arial"/>
          <w:sz w:val="22"/>
          <w:szCs w:val="22"/>
          <w:lang w:val="en-CA"/>
        </w:rPr>
        <w:t>ate</w:t>
      </w:r>
      <w:r w:rsidR="002E7AB1">
        <w:rPr>
          <w:rFonts w:ascii="Arial" w:hAnsi="Arial" w:cs="Arial"/>
          <w:sz w:val="22"/>
          <w:szCs w:val="22"/>
          <w:lang w:val="en-CA"/>
        </w:rPr>
        <w:t xml:space="preserve">s that “each Party shall provide a right in </w:t>
      </w:r>
      <w:r w:rsidR="002E7AB1">
        <w:rPr>
          <w:rFonts w:ascii="Arial" w:hAnsi="Arial" w:cs="Arial"/>
          <w:sz w:val="22"/>
          <w:szCs w:val="22"/>
          <w:lang w:val="en-CA"/>
        </w:rPr>
        <w:lastRenderedPageBreak/>
        <w:t xml:space="preserve">order to ensure that a remuneration is paid by the user to the performers and producers of phonograms, if a phonogram published for commercial </w:t>
      </w:r>
      <w:r w:rsidR="004074A3">
        <w:rPr>
          <w:rFonts w:ascii="Arial" w:hAnsi="Arial" w:cs="Arial"/>
          <w:sz w:val="22"/>
          <w:szCs w:val="22"/>
          <w:lang w:val="en-CA"/>
        </w:rPr>
        <w:t xml:space="preserve">purposes, or a reproduction of such phonogram, is used for broadcasting by wireless means or for any communication to the public”. </w:t>
      </w:r>
    </w:p>
    <w:p w:rsidR="00D6701E" w:rsidRPr="00FC7B28" w:rsidRDefault="0099521F" w:rsidP="00BC4B9C">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With respect to</w:t>
      </w:r>
      <w:r w:rsidR="004074A3">
        <w:rPr>
          <w:rFonts w:ascii="Arial" w:hAnsi="Arial" w:cs="Arial"/>
          <w:sz w:val="22"/>
          <w:szCs w:val="22"/>
          <w:lang w:val="en-CA"/>
        </w:rPr>
        <w:t xml:space="preserve"> the terms of protection,</w:t>
      </w:r>
      <w:r w:rsidR="00DA50E0">
        <w:rPr>
          <w:rFonts w:ascii="Arial" w:hAnsi="Arial" w:cs="Arial"/>
          <w:sz w:val="22"/>
          <w:szCs w:val="22"/>
          <w:lang w:val="en-CA"/>
        </w:rPr>
        <w:t xml:space="preserve"> there are also differences between the two agreements.</w:t>
      </w:r>
      <w:r w:rsidR="004074A3">
        <w:rPr>
          <w:rFonts w:ascii="Arial" w:hAnsi="Arial" w:cs="Arial"/>
          <w:sz w:val="22"/>
          <w:szCs w:val="22"/>
          <w:lang w:val="en-CA"/>
        </w:rPr>
        <w:t xml:space="preserve"> </w:t>
      </w:r>
      <w:r w:rsidR="00DA50E0">
        <w:rPr>
          <w:rFonts w:ascii="Arial" w:hAnsi="Arial" w:cs="Arial"/>
          <w:sz w:val="22"/>
          <w:szCs w:val="22"/>
          <w:lang w:val="en-CA"/>
        </w:rPr>
        <w:t xml:space="preserve">In this view, </w:t>
      </w:r>
      <w:r w:rsidR="004074A3">
        <w:rPr>
          <w:rFonts w:ascii="Arial" w:hAnsi="Arial" w:cs="Arial"/>
          <w:sz w:val="22"/>
          <w:szCs w:val="22"/>
          <w:lang w:val="en-CA"/>
        </w:rPr>
        <w:t>“the rights of an author of a literary or artistic work within the meaning of Article 2 of the Berne Convention shall run for the life of the author and not less than for 50 years or, where the domestic legislation of the Party so provides, for 70 years after the author’s death”.</w:t>
      </w:r>
      <w:r w:rsidR="00DA50E0">
        <w:rPr>
          <w:rFonts w:ascii="Arial" w:hAnsi="Arial" w:cs="Arial"/>
          <w:sz w:val="22"/>
          <w:szCs w:val="22"/>
          <w:lang w:val="en-CA"/>
        </w:rPr>
        <w:t xml:space="preserve"> </w:t>
      </w:r>
      <w:r w:rsidR="000B04DD">
        <w:rPr>
          <w:rFonts w:ascii="Arial" w:hAnsi="Arial" w:cs="Arial"/>
          <w:sz w:val="22"/>
          <w:szCs w:val="22"/>
          <w:lang w:val="en-CA"/>
        </w:rPr>
        <w:t>Moreover</w:t>
      </w:r>
      <w:r w:rsidR="000672D5">
        <w:rPr>
          <w:rFonts w:ascii="Arial" w:hAnsi="Arial" w:cs="Arial"/>
          <w:sz w:val="22"/>
          <w:szCs w:val="22"/>
          <w:lang w:val="en-CA"/>
        </w:rPr>
        <w:t xml:space="preserve">, </w:t>
      </w:r>
      <w:r w:rsidR="003B47DE">
        <w:rPr>
          <w:rFonts w:ascii="Arial" w:hAnsi="Arial" w:cs="Arial"/>
          <w:sz w:val="22"/>
          <w:szCs w:val="22"/>
          <w:lang w:val="en-CA"/>
        </w:rPr>
        <w:t>article</w:t>
      </w:r>
      <w:r w:rsidR="00F85BF9">
        <w:rPr>
          <w:rFonts w:ascii="Arial" w:hAnsi="Arial" w:cs="Arial"/>
          <w:sz w:val="22"/>
          <w:szCs w:val="22"/>
          <w:lang w:val="en-CA"/>
        </w:rPr>
        <w:t xml:space="preserve"> X.17</w:t>
      </w:r>
      <w:r w:rsidR="003B47DE">
        <w:rPr>
          <w:rFonts w:ascii="Arial" w:hAnsi="Arial" w:cs="Arial"/>
          <w:sz w:val="22"/>
          <w:szCs w:val="22"/>
          <w:lang w:val="en-CA"/>
        </w:rPr>
        <w:t xml:space="preserve"> on “</w:t>
      </w:r>
      <w:r w:rsidR="00F85BF9">
        <w:rPr>
          <w:rFonts w:ascii="Arial" w:hAnsi="Arial" w:cs="Arial"/>
          <w:sz w:val="22"/>
          <w:szCs w:val="22"/>
          <w:lang w:val="en-CA"/>
        </w:rPr>
        <w:t>Cooperation on c</w:t>
      </w:r>
      <w:r w:rsidR="003B47DE">
        <w:rPr>
          <w:rFonts w:ascii="Arial" w:hAnsi="Arial" w:cs="Arial"/>
          <w:sz w:val="22"/>
          <w:szCs w:val="22"/>
          <w:lang w:val="en-CA"/>
        </w:rPr>
        <w:t>ollective management</w:t>
      </w:r>
      <w:r w:rsidR="00F85BF9">
        <w:rPr>
          <w:rFonts w:ascii="Arial" w:hAnsi="Arial" w:cs="Arial"/>
          <w:sz w:val="22"/>
          <w:szCs w:val="22"/>
          <w:lang w:val="en-CA"/>
        </w:rPr>
        <w:t xml:space="preserve"> of rights</w:t>
      </w:r>
      <w:r w:rsidR="003B47DE">
        <w:rPr>
          <w:rFonts w:ascii="Arial" w:hAnsi="Arial" w:cs="Arial"/>
          <w:sz w:val="22"/>
          <w:szCs w:val="22"/>
          <w:lang w:val="en-CA"/>
        </w:rPr>
        <w:t xml:space="preserve">” </w:t>
      </w:r>
      <w:r w:rsidR="00F85BF9">
        <w:rPr>
          <w:rFonts w:ascii="Arial" w:hAnsi="Arial" w:cs="Arial"/>
          <w:sz w:val="22"/>
          <w:szCs w:val="22"/>
          <w:lang w:val="en-CA"/>
        </w:rPr>
        <w:t>stresses explicitly the digital environment. T</w:t>
      </w:r>
      <w:r w:rsidR="000672D5">
        <w:rPr>
          <w:rFonts w:ascii="Arial" w:hAnsi="Arial" w:cs="Arial"/>
          <w:sz w:val="22"/>
          <w:szCs w:val="22"/>
          <w:lang w:val="en-CA"/>
        </w:rPr>
        <w:t>he article focuses on the promotion of cooperation, transparency and non-discrimination of collective management organi</w:t>
      </w:r>
      <w:r w:rsidR="00537E1A">
        <w:rPr>
          <w:rFonts w:ascii="Arial" w:hAnsi="Arial" w:cs="Arial"/>
          <w:sz w:val="22"/>
          <w:szCs w:val="22"/>
          <w:lang w:val="en-CA"/>
        </w:rPr>
        <w:t>z</w:t>
      </w:r>
      <w:r w:rsidR="000672D5">
        <w:rPr>
          <w:rFonts w:ascii="Arial" w:hAnsi="Arial" w:cs="Arial"/>
          <w:sz w:val="22"/>
          <w:szCs w:val="22"/>
          <w:lang w:val="en-CA"/>
        </w:rPr>
        <w:t xml:space="preserve">ations, “in particular as regards the revenues they collect, deductions applied to such revenue, the use of the royalties collected, the distribution policy and their repertoire, including in </w:t>
      </w:r>
      <w:r w:rsidR="000672D5" w:rsidRPr="000672D5">
        <w:rPr>
          <w:rFonts w:ascii="Arial" w:hAnsi="Arial" w:cs="Arial"/>
          <w:sz w:val="22"/>
          <w:szCs w:val="22"/>
          <w:lang w:val="en-CA"/>
        </w:rPr>
        <w:t>the digital environment”.</w:t>
      </w:r>
      <w:r w:rsidR="000672D5">
        <w:rPr>
          <w:rFonts w:ascii="Arial" w:hAnsi="Arial" w:cs="Arial"/>
          <w:sz w:val="22"/>
          <w:szCs w:val="22"/>
          <w:lang w:val="en-CA"/>
        </w:rPr>
        <w:t xml:space="preserve"> </w:t>
      </w:r>
    </w:p>
    <w:p w:rsidR="00FC7B28" w:rsidRPr="00FC7B28" w:rsidRDefault="00FC7B28" w:rsidP="00C85EA6">
      <w:pPr>
        <w:spacing w:beforeLines="120" w:before="288" w:afterLines="120" w:after="288" w:line="276" w:lineRule="auto"/>
        <w:ind w:left="425" w:right="714"/>
        <w:jc w:val="both"/>
        <w:rPr>
          <w:rFonts w:ascii="Arial" w:hAnsi="Arial" w:cs="Arial"/>
          <w:b/>
          <w:sz w:val="22"/>
          <w:szCs w:val="22"/>
          <w:lang w:val="en-CA"/>
        </w:rPr>
      </w:pPr>
      <w:r w:rsidRPr="00FC7B28">
        <w:rPr>
          <w:rFonts w:ascii="Arial" w:hAnsi="Arial" w:cs="Arial"/>
          <w:b/>
          <w:sz w:val="22"/>
          <w:szCs w:val="22"/>
          <w:lang w:val="en-CA"/>
        </w:rPr>
        <w:t>EU trade negotiations with Australia and New Zealand</w:t>
      </w:r>
    </w:p>
    <w:p w:rsidR="00804029" w:rsidRDefault="00D5147D" w:rsidP="003613A5">
      <w:pPr>
        <w:spacing w:beforeLines="120" w:before="288" w:afterLines="120" w:after="288" w:line="276" w:lineRule="auto"/>
        <w:ind w:left="425" w:right="714"/>
        <w:jc w:val="both"/>
        <w:rPr>
          <w:rFonts w:ascii="Arial" w:hAnsi="Arial" w:cs="Arial"/>
          <w:sz w:val="22"/>
          <w:szCs w:val="22"/>
          <w:lang w:val="en-CA"/>
        </w:rPr>
      </w:pPr>
      <w:r>
        <w:rPr>
          <w:rFonts w:ascii="Arial" w:hAnsi="Arial" w:cs="Arial"/>
          <w:sz w:val="22"/>
          <w:szCs w:val="22"/>
          <w:lang w:val="en-CA"/>
        </w:rPr>
        <w:t>As regards</w:t>
      </w:r>
      <w:r w:rsidR="00C85EA6">
        <w:rPr>
          <w:rFonts w:ascii="Arial" w:hAnsi="Arial" w:cs="Arial"/>
          <w:sz w:val="22"/>
          <w:szCs w:val="22"/>
          <w:lang w:val="en-CA"/>
        </w:rPr>
        <w:t xml:space="preserve"> the bilateral negotiations with Australia and New Zealand, six negotiating rounds have been held since the</w:t>
      </w:r>
      <w:r w:rsidR="008B172E">
        <w:rPr>
          <w:rFonts w:ascii="Arial" w:hAnsi="Arial" w:cs="Arial"/>
          <w:sz w:val="22"/>
          <w:szCs w:val="22"/>
          <w:lang w:val="en-CA"/>
        </w:rPr>
        <w:t>ir</w:t>
      </w:r>
      <w:r w:rsidR="00C85EA6">
        <w:rPr>
          <w:rFonts w:ascii="Arial" w:hAnsi="Arial" w:cs="Arial"/>
          <w:sz w:val="22"/>
          <w:szCs w:val="22"/>
          <w:lang w:val="en-CA"/>
        </w:rPr>
        <w:t xml:space="preserve"> launch in June 2018. The EU directives</w:t>
      </w:r>
      <w:r w:rsidR="00490BB1">
        <w:rPr>
          <w:rFonts w:ascii="Arial" w:hAnsi="Arial" w:cs="Arial"/>
          <w:sz w:val="22"/>
          <w:szCs w:val="22"/>
          <w:lang w:val="en-CA"/>
        </w:rPr>
        <w:t xml:space="preserve"> on both negotiations</w:t>
      </w:r>
      <w:r w:rsidR="00C85EA6">
        <w:rPr>
          <w:rFonts w:ascii="Arial" w:hAnsi="Arial" w:cs="Arial"/>
          <w:sz w:val="22"/>
          <w:szCs w:val="22"/>
          <w:lang w:val="en-CA"/>
        </w:rPr>
        <w:t xml:space="preserve"> have several similar points. </w:t>
      </w:r>
      <w:r w:rsidR="008B172E">
        <w:rPr>
          <w:rFonts w:ascii="Arial" w:hAnsi="Arial" w:cs="Arial"/>
          <w:sz w:val="22"/>
          <w:szCs w:val="22"/>
          <w:lang w:val="en-CA"/>
        </w:rPr>
        <w:t>W</w:t>
      </w:r>
      <w:r w:rsidR="00C85EA6">
        <w:rPr>
          <w:rFonts w:ascii="Arial" w:hAnsi="Arial" w:cs="Arial"/>
          <w:sz w:val="22"/>
          <w:szCs w:val="22"/>
          <w:lang w:val="en-CA"/>
        </w:rPr>
        <w:t>ith respect to “Trade in Services, Foreign Direct Investment and Digital Trade”, the EU stipulates that “in line with Article V GATS</w:t>
      </w:r>
      <w:r w:rsidR="00725060">
        <w:rPr>
          <w:rFonts w:ascii="Arial" w:hAnsi="Arial" w:cs="Arial"/>
          <w:sz w:val="22"/>
          <w:szCs w:val="22"/>
          <w:lang w:val="en-CA"/>
        </w:rPr>
        <w:t xml:space="preserve"> (General Agreement on Trade in Services)</w:t>
      </w:r>
      <w:r w:rsidR="00C85EA6">
        <w:rPr>
          <w:rFonts w:ascii="Arial" w:hAnsi="Arial" w:cs="Arial"/>
          <w:sz w:val="22"/>
          <w:szCs w:val="22"/>
          <w:lang w:val="en-CA"/>
        </w:rPr>
        <w:t xml:space="preserve">, the Agreement should have substantial sectorial coverage and should cover all modes of supply. The Agreement should have no </w:t>
      </w:r>
      <w:r w:rsidR="00C85EA6" w:rsidRPr="00490BB1">
        <w:rPr>
          <w:rFonts w:ascii="Arial" w:hAnsi="Arial" w:cs="Arial"/>
          <w:i/>
          <w:sz w:val="22"/>
          <w:szCs w:val="22"/>
          <w:lang w:val="en-CA"/>
        </w:rPr>
        <w:t>a priori</w:t>
      </w:r>
      <w:r w:rsidR="00C85EA6">
        <w:rPr>
          <w:rFonts w:ascii="Arial" w:hAnsi="Arial" w:cs="Arial"/>
          <w:sz w:val="22"/>
          <w:szCs w:val="22"/>
          <w:lang w:val="en-CA"/>
        </w:rPr>
        <w:t xml:space="preserve"> exclusion from its scope other than the exclusion of audiovisual services”. In addition, the EU directives stress that “the Agreement should reaffirm that it does not prevent the EU, its Member States and their national, regional and local authorities from regulating economic activity in the public interest, to achieve legitimate public policy objectives such as </w:t>
      </w:r>
      <w:r w:rsidR="008B172E">
        <w:rPr>
          <w:rFonts w:ascii="Arial" w:hAnsi="Arial" w:cs="Arial"/>
          <w:sz w:val="22"/>
          <w:szCs w:val="22"/>
          <w:lang w:val="en-CA"/>
        </w:rPr>
        <w:t>[</w:t>
      </w:r>
      <w:r w:rsidR="00C85EA6">
        <w:rPr>
          <w:rFonts w:ascii="Arial" w:hAnsi="Arial" w:cs="Arial"/>
          <w:sz w:val="22"/>
          <w:szCs w:val="22"/>
          <w:lang w:val="en-CA"/>
        </w:rPr>
        <w:t>…</w:t>
      </w:r>
      <w:r w:rsidR="008B172E">
        <w:rPr>
          <w:rFonts w:ascii="Arial" w:hAnsi="Arial" w:cs="Arial"/>
          <w:sz w:val="22"/>
          <w:szCs w:val="22"/>
          <w:lang w:val="en-CA"/>
        </w:rPr>
        <w:t>]</w:t>
      </w:r>
      <w:r w:rsidR="00C85EA6">
        <w:rPr>
          <w:rFonts w:ascii="Arial" w:hAnsi="Arial" w:cs="Arial"/>
          <w:sz w:val="22"/>
          <w:szCs w:val="22"/>
          <w:lang w:val="en-CA"/>
        </w:rPr>
        <w:t xml:space="preserve"> the promotion and protection of cultural diversity”.  </w:t>
      </w:r>
    </w:p>
    <w:p w:rsidR="003613A5" w:rsidRPr="00824F7E" w:rsidRDefault="003613A5" w:rsidP="00C85EA6">
      <w:pPr>
        <w:spacing w:before="80" w:after="80" w:line="276" w:lineRule="auto"/>
        <w:ind w:left="567" w:right="856"/>
        <w:jc w:val="both"/>
        <w:rPr>
          <w:rFonts w:ascii="Arial" w:hAnsi="Arial" w:cs="Arial"/>
          <w:b/>
          <w:sz w:val="22"/>
          <w:szCs w:val="22"/>
          <w:lang w:val="en-CA"/>
        </w:rPr>
      </w:pPr>
    </w:p>
    <w:p w:rsidR="00C85EA6" w:rsidRPr="00666B95" w:rsidRDefault="00C85EA6" w:rsidP="00C85EA6">
      <w:pPr>
        <w:spacing w:before="80" w:after="80" w:line="276" w:lineRule="auto"/>
        <w:ind w:left="567" w:right="856"/>
        <w:jc w:val="both"/>
        <w:rPr>
          <w:rFonts w:ascii="Arial" w:hAnsi="Arial" w:cs="Arial"/>
          <w:b/>
          <w:sz w:val="22"/>
          <w:szCs w:val="22"/>
          <w:lang w:val="fr-CA"/>
        </w:rPr>
      </w:pPr>
      <w:r w:rsidRPr="00666B95">
        <w:rPr>
          <w:rFonts w:ascii="Arial" w:hAnsi="Arial" w:cs="Arial"/>
          <w:b/>
          <w:sz w:val="22"/>
          <w:szCs w:val="22"/>
          <w:lang w:val="fr-CA"/>
        </w:rPr>
        <w:t>Sources :</w:t>
      </w:r>
    </w:p>
    <w:p w:rsidR="00490BB1" w:rsidRDefault="00490BB1" w:rsidP="00C85EA6">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S. Santander and A. </w:t>
      </w:r>
      <w:proofErr w:type="spellStart"/>
      <w:r>
        <w:rPr>
          <w:rFonts w:ascii="Arial" w:hAnsi="Arial" w:cs="Arial"/>
          <w:sz w:val="20"/>
          <w:szCs w:val="20"/>
          <w:lang w:val="en-CA"/>
        </w:rPr>
        <w:t>Vlassis</w:t>
      </w:r>
      <w:proofErr w:type="spellEnd"/>
      <w:r>
        <w:rPr>
          <w:rFonts w:ascii="Arial" w:hAnsi="Arial" w:cs="Arial"/>
          <w:sz w:val="20"/>
          <w:szCs w:val="20"/>
          <w:lang w:val="en-CA"/>
        </w:rPr>
        <w:t xml:space="preserve">, </w:t>
      </w:r>
      <w:r w:rsidR="00B93ED1">
        <w:rPr>
          <w:rFonts w:ascii="Arial" w:hAnsi="Arial" w:cs="Arial"/>
          <w:sz w:val="20"/>
          <w:szCs w:val="20"/>
          <w:lang w:val="en-CA"/>
        </w:rPr>
        <w:t>“EU in Global Affairs: Constrained Ambition in an Unpredictable World</w:t>
      </w:r>
      <w:proofErr w:type="gramStart"/>
      <w:r w:rsidR="00B93ED1">
        <w:rPr>
          <w:rFonts w:ascii="Arial" w:hAnsi="Arial" w:cs="Arial"/>
          <w:sz w:val="20"/>
          <w:szCs w:val="20"/>
          <w:lang w:val="en-CA"/>
        </w:rPr>
        <w:t>?,</w:t>
      </w:r>
      <w:proofErr w:type="gramEnd"/>
      <w:r w:rsidR="00B93ED1">
        <w:rPr>
          <w:rFonts w:ascii="Arial" w:hAnsi="Arial" w:cs="Arial"/>
          <w:sz w:val="20"/>
          <w:szCs w:val="20"/>
          <w:lang w:val="en-CA"/>
        </w:rPr>
        <w:t xml:space="preserve"> </w:t>
      </w:r>
      <w:r w:rsidR="00804029">
        <w:rPr>
          <w:rFonts w:ascii="Arial" w:hAnsi="Arial" w:cs="Arial"/>
          <w:i/>
          <w:sz w:val="20"/>
          <w:szCs w:val="20"/>
          <w:lang w:val="en-CA"/>
        </w:rPr>
        <w:t xml:space="preserve">European Foreign Affairs Review, </w:t>
      </w:r>
      <w:r w:rsidR="00804029">
        <w:rPr>
          <w:rFonts w:ascii="Arial" w:hAnsi="Arial" w:cs="Arial"/>
          <w:sz w:val="20"/>
          <w:szCs w:val="20"/>
          <w:lang w:val="en-CA"/>
        </w:rPr>
        <w:t xml:space="preserve">25(1), 2020, p. 5-22, </w:t>
      </w:r>
      <w:hyperlink r:id="rId18" w:history="1">
        <w:r w:rsidR="00804029" w:rsidRPr="00804029">
          <w:rPr>
            <w:rStyle w:val="Hyperlink"/>
            <w:rFonts w:ascii="Arial" w:hAnsi="Arial" w:cs="Arial"/>
            <w:sz w:val="20"/>
            <w:szCs w:val="20"/>
            <w:lang w:val="en-CA"/>
          </w:rPr>
          <w:t>link</w:t>
        </w:r>
      </w:hyperlink>
      <w:r w:rsidR="00804029">
        <w:rPr>
          <w:rFonts w:ascii="Arial" w:hAnsi="Arial" w:cs="Arial"/>
          <w:sz w:val="20"/>
          <w:szCs w:val="20"/>
          <w:lang w:val="en-CA"/>
        </w:rPr>
        <w:t xml:space="preserve">. </w:t>
      </w:r>
    </w:p>
    <w:p w:rsidR="00C85EA6" w:rsidRDefault="00C85EA6" w:rsidP="00C85EA6">
      <w:pPr>
        <w:pStyle w:val="ListParagraph"/>
        <w:numPr>
          <w:ilvl w:val="0"/>
          <w:numId w:val="1"/>
        </w:numPr>
        <w:spacing w:before="80" w:after="80" w:line="276" w:lineRule="auto"/>
        <w:ind w:left="851" w:right="856" w:hanging="284"/>
        <w:jc w:val="both"/>
        <w:rPr>
          <w:rFonts w:ascii="Arial" w:hAnsi="Arial" w:cs="Arial"/>
          <w:sz w:val="20"/>
          <w:szCs w:val="20"/>
          <w:lang w:val="en-CA"/>
        </w:rPr>
      </w:pPr>
      <w:r w:rsidRPr="00271060">
        <w:rPr>
          <w:rFonts w:ascii="Arial" w:hAnsi="Arial" w:cs="Arial"/>
          <w:sz w:val="20"/>
          <w:szCs w:val="20"/>
          <w:lang w:val="en-CA"/>
        </w:rPr>
        <w:t>EU-Japan Economic Partnership Agreement</w:t>
      </w:r>
      <w:r>
        <w:rPr>
          <w:rFonts w:ascii="Arial" w:hAnsi="Arial" w:cs="Arial"/>
          <w:sz w:val="20"/>
          <w:szCs w:val="20"/>
          <w:lang w:val="en-CA"/>
        </w:rPr>
        <w:t xml:space="preserve">: texts of the agreement, 8 December 2017, </w:t>
      </w:r>
      <w:hyperlink r:id="rId19" w:history="1">
        <w:r w:rsidRPr="00271060">
          <w:rPr>
            <w:rStyle w:val="Hyperlink"/>
            <w:rFonts w:ascii="Arial" w:hAnsi="Arial" w:cs="Arial"/>
            <w:sz w:val="20"/>
            <w:szCs w:val="20"/>
            <w:lang w:val="en-CA"/>
          </w:rPr>
          <w:t>link</w:t>
        </w:r>
      </w:hyperlink>
      <w:r>
        <w:rPr>
          <w:rFonts w:ascii="Arial" w:hAnsi="Arial" w:cs="Arial"/>
          <w:sz w:val="20"/>
          <w:szCs w:val="20"/>
          <w:lang w:val="en-CA"/>
        </w:rPr>
        <w:t xml:space="preserve">. </w:t>
      </w:r>
    </w:p>
    <w:p w:rsidR="003613A5" w:rsidRDefault="003613A5" w:rsidP="00C85EA6">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EU-Mercosur trade agreement: the Agreement in Principle and its texts, 12 July 2019, </w:t>
      </w:r>
      <w:hyperlink r:id="rId20" w:history="1">
        <w:r w:rsidRPr="003613A5">
          <w:rPr>
            <w:rStyle w:val="Hyperlink"/>
            <w:rFonts w:ascii="Arial" w:hAnsi="Arial" w:cs="Arial"/>
            <w:sz w:val="20"/>
            <w:szCs w:val="20"/>
            <w:lang w:val="en-CA"/>
          </w:rPr>
          <w:t>link</w:t>
        </w:r>
      </w:hyperlink>
      <w:r>
        <w:rPr>
          <w:rFonts w:ascii="Arial" w:hAnsi="Arial" w:cs="Arial"/>
          <w:sz w:val="20"/>
          <w:szCs w:val="20"/>
          <w:lang w:val="en-CA"/>
        </w:rPr>
        <w:t xml:space="preserve">. </w:t>
      </w:r>
    </w:p>
    <w:p w:rsidR="00C85EA6" w:rsidRDefault="00C85EA6" w:rsidP="00C85EA6">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t xml:space="preserve">Council of the European Union, “Negotiating directives for a Free Trade Agreement with Australia”, 25 June 2018, </w:t>
      </w:r>
      <w:hyperlink r:id="rId21" w:history="1">
        <w:r w:rsidRPr="003D0FB8">
          <w:rPr>
            <w:rStyle w:val="Hyperlink"/>
            <w:rFonts w:ascii="Arial" w:hAnsi="Arial" w:cs="Arial"/>
            <w:sz w:val="20"/>
            <w:szCs w:val="20"/>
            <w:lang w:val="en-CA"/>
          </w:rPr>
          <w:t>link</w:t>
        </w:r>
      </w:hyperlink>
      <w:r>
        <w:rPr>
          <w:rFonts w:ascii="Arial" w:hAnsi="Arial" w:cs="Arial"/>
          <w:sz w:val="20"/>
          <w:szCs w:val="20"/>
          <w:lang w:val="en-CA"/>
        </w:rPr>
        <w:t xml:space="preserve">. </w:t>
      </w:r>
    </w:p>
    <w:p w:rsidR="00B86702" w:rsidRPr="00490BB1" w:rsidRDefault="00C85EA6" w:rsidP="00490BB1">
      <w:pPr>
        <w:pStyle w:val="ListParagraph"/>
        <w:numPr>
          <w:ilvl w:val="0"/>
          <w:numId w:val="1"/>
        </w:numPr>
        <w:spacing w:before="80" w:after="80" w:line="276" w:lineRule="auto"/>
        <w:ind w:left="851" w:right="856" w:hanging="284"/>
        <w:jc w:val="both"/>
        <w:rPr>
          <w:rFonts w:ascii="Arial" w:hAnsi="Arial" w:cs="Arial"/>
          <w:sz w:val="20"/>
          <w:szCs w:val="20"/>
          <w:lang w:val="en-CA"/>
        </w:rPr>
      </w:pPr>
      <w:r>
        <w:rPr>
          <w:rFonts w:ascii="Arial" w:hAnsi="Arial" w:cs="Arial"/>
          <w:sz w:val="20"/>
          <w:szCs w:val="20"/>
          <w:lang w:val="en-CA"/>
        </w:rPr>
        <w:lastRenderedPageBreak/>
        <w:t xml:space="preserve">Council of the European Union, “Negotiating directives for a Free Trade Agreement with New Zealand”, 25 June 2018, </w:t>
      </w:r>
      <w:hyperlink r:id="rId22" w:history="1">
        <w:r w:rsidRPr="003D0FB8">
          <w:rPr>
            <w:rStyle w:val="Hyperlink"/>
            <w:rFonts w:ascii="Arial" w:hAnsi="Arial" w:cs="Arial"/>
            <w:sz w:val="20"/>
            <w:szCs w:val="20"/>
            <w:lang w:val="en-CA"/>
          </w:rPr>
          <w:t>link</w:t>
        </w:r>
      </w:hyperlink>
      <w:r>
        <w:rPr>
          <w:rFonts w:ascii="Arial" w:hAnsi="Arial" w:cs="Arial"/>
          <w:sz w:val="20"/>
          <w:szCs w:val="20"/>
          <w:lang w:val="en-CA"/>
        </w:rPr>
        <w:t xml:space="preserve">. </w:t>
      </w:r>
    </w:p>
    <w:p w:rsidR="00B86702" w:rsidRPr="000F5D41" w:rsidRDefault="00B86702" w:rsidP="00B86702">
      <w:pPr>
        <w:spacing w:before="80" w:after="80" w:line="276" w:lineRule="auto"/>
        <w:ind w:left="567" w:right="856"/>
        <w:jc w:val="both"/>
        <w:rPr>
          <w:rFonts w:ascii="Arial" w:hAnsi="Arial" w:cs="Arial"/>
          <w:sz w:val="20"/>
          <w:szCs w:val="20"/>
          <w:lang w:val="en-CA"/>
        </w:rPr>
      </w:pPr>
    </w:p>
    <w:p w:rsidR="00B86702" w:rsidRPr="000F5D41" w:rsidRDefault="00B86702" w:rsidP="00B86702">
      <w:pPr>
        <w:spacing w:before="80" w:after="80" w:line="276" w:lineRule="auto"/>
        <w:ind w:left="567" w:right="856"/>
        <w:jc w:val="both"/>
        <w:rPr>
          <w:rFonts w:ascii="Arial" w:hAnsi="Arial" w:cs="Arial"/>
          <w:sz w:val="20"/>
          <w:szCs w:val="20"/>
          <w:lang w:val="en-CA"/>
        </w:rPr>
      </w:pPr>
    </w:p>
    <w:tbl>
      <w:tblPr>
        <w:tblStyle w:val="TableGrid"/>
        <w:tblpPr w:leftFromText="141" w:rightFromText="141" w:vertAnchor="text" w:horzAnchor="margin" w:tblpY="221"/>
        <w:tblW w:w="0" w:type="auto"/>
        <w:shd w:val="clear" w:color="auto" w:fill="FBE4D5" w:themeFill="accent2" w:themeFillTint="33"/>
        <w:tblLook w:val="04A0" w:firstRow="1" w:lastRow="0" w:firstColumn="1" w:lastColumn="0" w:noHBand="0" w:noVBand="1"/>
      </w:tblPr>
      <w:tblGrid>
        <w:gridCol w:w="9350"/>
      </w:tblGrid>
      <w:tr w:rsidR="00B86702" w:rsidRPr="00F94C2B" w:rsidTr="00F07FDE">
        <w:trPr>
          <w:trHeight w:val="2259"/>
        </w:trPr>
        <w:tc>
          <w:tcPr>
            <w:tcW w:w="9350" w:type="dxa"/>
            <w:shd w:val="clear" w:color="auto" w:fill="FBE4D5" w:themeFill="accent2" w:themeFillTint="33"/>
          </w:tcPr>
          <w:p w:rsidR="00B86702" w:rsidRPr="00F94C2B" w:rsidRDefault="00B86702" w:rsidP="00F07FDE">
            <w:pPr>
              <w:rPr>
                <w:rFonts w:ascii="Arial" w:hAnsi="Arial" w:cs="Arial"/>
                <w:sz w:val="32"/>
                <w:szCs w:val="42"/>
              </w:rPr>
            </w:pPr>
            <w:r w:rsidRPr="00F94C2B">
              <w:rPr>
                <w:rFonts w:ascii="Arial" w:hAnsi="Arial" w:cs="Arial"/>
                <w:sz w:val="32"/>
                <w:szCs w:val="42"/>
              </w:rPr>
              <w:t xml:space="preserve">Direction </w:t>
            </w:r>
          </w:p>
          <w:p w:rsidR="00B86702" w:rsidRPr="00F94C2B" w:rsidRDefault="00B86702" w:rsidP="00F07FDE">
            <w:pPr>
              <w:rPr>
                <w:rFonts w:ascii="Arial" w:hAnsi="Arial" w:cs="Arial"/>
              </w:rPr>
            </w:pPr>
            <w:r w:rsidRPr="00F94C2B">
              <w:rPr>
                <w:rFonts w:ascii="Arial" w:hAnsi="Arial" w:cs="Arial"/>
                <w:b/>
              </w:rPr>
              <w:t>Gilbert Gagné</w:t>
            </w:r>
            <w:r w:rsidRPr="00F94C2B">
              <w:rPr>
                <w:rFonts w:ascii="Arial" w:hAnsi="Arial" w:cs="Arial"/>
              </w:rPr>
              <w:t xml:space="preserve">, </w:t>
            </w:r>
            <w:r w:rsidRPr="00F94C2B">
              <w:rPr>
                <w:rFonts w:ascii="Arial" w:hAnsi="Arial" w:cs="Arial"/>
                <w:sz w:val="19"/>
                <w:szCs w:val="19"/>
              </w:rPr>
              <w:t>chercheur au CEIM et directeur du Groupe de recherche sur l’intégration continentale (GRIC).</w:t>
            </w:r>
          </w:p>
          <w:p w:rsidR="00B86702" w:rsidRPr="00F94C2B" w:rsidRDefault="00B86702" w:rsidP="00F07FDE">
            <w:pPr>
              <w:ind w:right="-6"/>
              <w:rPr>
                <w:rFonts w:ascii="Arial" w:hAnsi="Arial" w:cs="Arial"/>
                <w:sz w:val="32"/>
                <w:szCs w:val="42"/>
              </w:rPr>
            </w:pPr>
          </w:p>
          <w:p w:rsidR="00B86702" w:rsidRPr="00F94C2B" w:rsidRDefault="00B86702" w:rsidP="00F07FDE">
            <w:pPr>
              <w:ind w:right="-6"/>
              <w:rPr>
                <w:rFonts w:ascii="Arial" w:hAnsi="Arial" w:cs="Arial"/>
                <w:sz w:val="32"/>
                <w:szCs w:val="42"/>
              </w:rPr>
            </w:pPr>
            <w:r w:rsidRPr="00F94C2B">
              <w:rPr>
                <w:rFonts w:ascii="Arial" w:hAnsi="Arial" w:cs="Arial"/>
                <w:sz w:val="32"/>
                <w:szCs w:val="42"/>
              </w:rPr>
              <w:t>Rédaction</w:t>
            </w:r>
          </w:p>
          <w:p w:rsidR="00B86702" w:rsidRPr="00F94C2B" w:rsidRDefault="00B86702" w:rsidP="00F07FDE">
            <w:pPr>
              <w:ind w:right="-6"/>
              <w:rPr>
                <w:rFonts w:ascii="Arial" w:hAnsi="Arial" w:cs="Arial"/>
                <w:sz w:val="32"/>
                <w:szCs w:val="42"/>
              </w:rPr>
            </w:pPr>
            <w:proofErr w:type="spellStart"/>
            <w:r w:rsidRPr="00F94C2B">
              <w:rPr>
                <w:rFonts w:ascii="Arial" w:hAnsi="Arial" w:cs="Arial"/>
                <w:b/>
              </w:rPr>
              <w:t>Antonios</w:t>
            </w:r>
            <w:proofErr w:type="spellEnd"/>
            <w:r w:rsidRPr="00F94C2B">
              <w:rPr>
                <w:rFonts w:ascii="Arial" w:hAnsi="Arial" w:cs="Arial"/>
                <w:b/>
              </w:rPr>
              <w:t xml:space="preserve"> </w:t>
            </w:r>
            <w:proofErr w:type="spellStart"/>
            <w:r w:rsidRPr="00F94C2B">
              <w:rPr>
                <w:rFonts w:ascii="Arial" w:hAnsi="Arial" w:cs="Arial"/>
                <w:b/>
              </w:rPr>
              <w:t>Vlassis</w:t>
            </w:r>
            <w:proofErr w:type="spellEnd"/>
            <w:r w:rsidRPr="00F94C2B">
              <w:rPr>
                <w:rFonts w:ascii="Arial" w:hAnsi="Arial" w:cs="Arial"/>
              </w:rPr>
              <w:t>,</w:t>
            </w:r>
            <w:r w:rsidRPr="00F94C2B">
              <w:rPr>
                <w:rFonts w:ascii="Arial" w:hAnsi="Arial" w:cs="Arial"/>
                <w:sz w:val="19"/>
                <w:szCs w:val="19"/>
              </w:rPr>
              <w:t xml:space="preserve"> maître de conférences et chercheur, Center for International Relations </w:t>
            </w:r>
            <w:proofErr w:type="spellStart"/>
            <w:r w:rsidRPr="00F94C2B">
              <w:rPr>
                <w:rFonts w:ascii="Arial" w:hAnsi="Arial" w:cs="Arial"/>
                <w:sz w:val="19"/>
                <w:szCs w:val="19"/>
              </w:rPr>
              <w:t>Studies</w:t>
            </w:r>
            <w:proofErr w:type="spellEnd"/>
            <w:r>
              <w:rPr>
                <w:rFonts w:ascii="Arial" w:hAnsi="Arial" w:cs="Arial"/>
                <w:sz w:val="19"/>
                <w:szCs w:val="19"/>
              </w:rPr>
              <w:t xml:space="preserve"> (CEFIR)-</w:t>
            </w:r>
            <w:r w:rsidRPr="00F94C2B">
              <w:rPr>
                <w:rFonts w:ascii="Arial" w:hAnsi="Arial" w:cs="Arial"/>
                <w:sz w:val="19"/>
                <w:szCs w:val="19"/>
              </w:rPr>
              <w:t>Université de Liège, membre au CEIM.</w:t>
            </w:r>
          </w:p>
          <w:p w:rsidR="00B86702" w:rsidRPr="00F94C2B" w:rsidRDefault="00B86702" w:rsidP="00F07FDE">
            <w:pPr>
              <w:spacing w:after="240"/>
              <w:ind w:right="-6"/>
              <w:rPr>
                <w:rFonts w:ascii="Arial" w:hAnsi="Arial" w:cs="Arial"/>
                <w:sz w:val="32"/>
                <w:szCs w:val="42"/>
              </w:rPr>
            </w:pPr>
          </w:p>
          <w:p w:rsidR="00B86702" w:rsidRPr="00F94C2B" w:rsidRDefault="00B86702" w:rsidP="00F07FDE">
            <w:pPr>
              <w:rPr>
                <w:rFonts w:ascii="Arial" w:hAnsi="Arial" w:cs="Arial"/>
              </w:rPr>
            </w:pPr>
            <w:r w:rsidRPr="00F94C2B">
              <w:rPr>
                <w:rFonts w:ascii="Arial" w:hAnsi="Arial" w:cs="Arial"/>
                <w:sz w:val="32"/>
                <w:szCs w:val="42"/>
              </w:rPr>
              <w:t xml:space="preserve">Centre d’études </w:t>
            </w:r>
            <w:r w:rsidRPr="00F94C2B">
              <w:rPr>
                <w:rFonts w:ascii="Arial" w:hAnsi="Arial" w:cs="Arial"/>
                <w:sz w:val="32"/>
                <w:szCs w:val="42"/>
              </w:rPr>
              <w:br/>
              <w:t xml:space="preserve">sur l’intégration </w:t>
            </w:r>
            <w:r w:rsidRPr="00F94C2B">
              <w:rPr>
                <w:rFonts w:ascii="Arial" w:hAnsi="Arial" w:cs="Arial"/>
                <w:sz w:val="32"/>
                <w:szCs w:val="42"/>
              </w:rPr>
              <w:br/>
              <w:t>et la mondialisation</w:t>
            </w:r>
          </w:p>
          <w:p w:rsidR="00B86702" w:rsidRPr="00F94C2B" w:rsidRDefault="00B86702" w:rsidP="00F07FDE">
            <w:pPr>
              <w:rPr>
                <w:rFonts w:ascii="Arial" w:hAnsi="Arial" w:cs="Arial"/>
              </w:rPr>
            </w:pPr>
            <w:r w:rsidRPr="00F94C2B">
              <w:rPr>
                <w:rFonts w:ascii="Arial" w:hAnsi="Arial" w:cs="Arial"/>
                <w:b/>
              </w:rPr>
              <w:t xml:space="preserve">Adresse civique : </w:t>
            </w:r>
            <w:r w:rsidRPr="00F94C2B">
              <w:rPr>
                <w:rFonts w:ascii="Arial" w:hAnsi="Arial" w:cs="Arial"/>
              </w:rPr>
              <w:t>UQAM, 400, rue Sainte-Catherine Est, Pavillon Hubert-Aquin, bureau A-1560</w:t>
            </w:r>
            <w:r w:rsidRPr="00F94C2B">
              <w:rPr>
                <w:rFonts w:ascii="Arial" w:hAnsi="Arial" w:cs="Arial"/>
              </w:rPr>
              <w:br/>
              <w:t>Montréal (Québec)  H2L 2C5  CANADA</w:t>
            </w:r>
          </w:p>
          <w:p w:rsidR="00B86702" w:rsidRPr="00F94C2B" w:rsidRDefault="00B86702" w:rsidP="00F07FDE">
            <w:pPr>
              <w:rPr>
                <w:rFonts w:ascii="Arial" w:hAnsi="Arial" w:cs="Arial"/>
              </w:rPr>
            </w:pPr>
            <w:r w:rsidRPr="00F94C2B">
              <w:rPr>
                <w:rFonts w:ascii="Arial" w:hAnsi="Arial" w:cs="Arial"/>
                <w:b/>
              </w:rPr>
              <w:t xml:space="preserve">Adresse postale : </w:t>
            </w:r>
            <w:r w:rsidRPr="00F94C2B">
              <w:rPr>
                <w:rFonts w:ascii="Arial" w:hAnsi="Arial" w:cs="Arial"/>
              </w:rPr>
              <w:t xml:space="preserve">Université du Québec à Montréal, Case postale 8888, </w:t>
            </w:r>
            <w:proofErr w:type="spellStart"/>
            <w:r w:rsidRPr="00F94C2B">
              <w:rPr>
                <w:rFonts w:ascii="Arial" w:hAnsi="Arial" w:cs="Arial"/>
              </w:rPr>
              <w:t>succ</w:t>
            </w:r>
            <w:proofErr w:type="spellEnd"/>
            <w:r w:rsidRPr="00F94C2B">
              <w:rPr>
                <w:rFonts w:ascii="Arial" w:hAnsi="Arial" w:cs="Arial"/>
              </w:rPr>
              <w:t>. Centre-Ville, Montréal (Québec)  H3C 3P8  CANADA</w:t>
            </w:r>
          </w:p>
          <w:p w:rsidR="00B86702" w:rsidRPr="00F94C2B" w:rsidRDefault="00B86702" w:rsidP="00F07FDE">
            <w:pPr>
              <w:rPr>
                <w:rFonts w:ascii="Arial" w:hAnsi="Arial" w:cs="Arial"/>
              </w:rPr>
            </w:pPr>
            <w:r w:rsidRPr="00F94C2B">
              <w:rPr>
                <w:rFonts w:ascii="Arial" w:hAnsi="Arial" w:cs="Arial"/>
              </w:rPr>
              <w:t>Téléphone : 514 987-3000, poste 3910</w:t>
            </w:r>
            <w:r w:rsidRPr="00F94C2B">
              <w:rPr>
                <w:rFonts w:ascii="Arial" w:hAnsi="Arial" w:cs="Arial"/>
              </w:rPr>
              <w:br/>
              <w:t>Télécopieur : 514 987-0397</w:t>
            </w:r>
          </w:p>
          <w:p w:rsidR="00B86702" w:rsidRPr="00F94C2B" w:rsidRDefault="00B86702" w:rsidP="00F07FDE">
            <w:pPr>
              <w:rPr>
                <w:rFonts w:ascii="Arial" w:hAnsi="Arial" w:cs="Arial"/>
                <w:color w:val="212F64"/>
              </w:rPr>
            </w:pPr>
            <w:r w:rsidRPr="00F94C2B">
              <w:rPr>
                <w:rFonts w:ascii="Arial" w:hAnsi="Arial" w:cs="Arial"/>
              </w:rPr>
              <w:t xml:space="preserve">Courriel : </w:t>
            </w:r>
            <w:hyperlink r:id="rId23" w:history="1">
              <w:r w:rsidRPr="00F94C2B">
                <w:rPr>
                  <w:rStyle w:val="TexteNormalHyperlinkChar"/>
                  <w:rFonts w:ascii="Arial" w:eastAsiaTheme="minorHAnsi" w:hAnsi="Arial" w:cs="Arial"/>
                </w:rPr>
                <w:t>ceim@uqam.ca</w:t>
              </w:r>
            </w:hyperlink>
            <w:r w:rsidRPr="00F94C2B">
              <w:rPr>
                <w:rFonts w:ascii="Arial" w:hAnsi="Arial" w:cs="Arial"/>
              </w:rPr>
              <w:br/>
              <w:t xml:space="preserve">Site web : </w:t>
            </w:r>
            <w:hyperlink r:id="rId24" w:history="1">
              <w:r w:rsidRPr="00F94C2B">
                <w:rPr>
                  <w:rStyle w:val="TexteNormalHyperlinkChar"/>
                  <w:rFonts w:ascii="Arial" w:eastAsiaTheme="minorHAnsi" w:hAnsi="Arial" w:cs="Arial"/>
                </w:rPr>
                <w:t>www.ceim.uqam.ca</w:t>
              </w:r>
            </w:hyperlink>
            <w:r w:rsidRPr="00F94C2B">
              <w:rPr>
                <w:rFonts w:ascii="Arial" w:hAnsi="Arial" w:cs="Arial"/>
                <w:color w:val="000099"/>
              </w:rPr>
              <w:t xml:space="preserve"> </w:t>
            </w:r>
          </w:p>
          <w:p w:rsidR="00B86702" w:rsidRPr="00F94C2B" w:rsidRDefault="00B86702" w:rsidP="00F07FDE">
            <w:pPr>
              <w:rPr>
                <w:rFonts w:ascii="Arial" w:hAnsi="Arial" w:cs="Arial"/>
                <w:sz w:val="32"/>
                <w:szCs w:val="42"/>
              </w:rPr>
            </w:pPr>
            <w:r w:rsidRPr="00F94C2B">
              <w:rPr>
                <w:rFonts w:ascii="Arial" w:hAnsi="Arial" w:cs="Arial"/>
              </w:rPr>
              <w:br/>
            </w:r>
          </w:p>
          <w:p w:rsidR="00B86702" w:rsidRPr="00F94C2B" w:rsidRDefault="00B86702" w:rsidP="00F07FDE">
            <w:pPr>
              <w:rPr>
                <w:rFonts w:ascii="Arial" w:hAnsi="Arial" w:cs="Arial"/>
                <w:sz w:val="32"/>
                <w:szCs w:val="42"/>
              </w:rPr>
            </w:pPr>
            <w:r w:rsidRPr="00F94C2B">
              <w:rPr>
                <w:rFonts w:ascii="Arial" w:hAnsi="Arial" w:cs="Arial"/>
                <w:noProof/>
                <w:lang w:val="en-US"/>
              </w:rPr>
              <w:drawing>
                <wp:inline distT="0" distB="0" distL="0" distR="0" wp14:anchorId="05739015" wp14:editId="3D6B3445">
                  <wp:extent cx="809625" cy="7590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m-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2733" cy="761937"/>
                          </a:xfrm>
                          <a:prstGeom prst="rect">
                            <a:avLst/>
                          </a:prstGeom>
                        </pic:spPr>
                      </pic:pic>
                    </a:graphicData>
                  </a:graphic>
                </wp:inline>
              </w:drawing>
            </w:r>
          </w:p>
          <w:p w:rsidR="00B86702" w:rsidRPr="00F94C2B" w:rsidRDefault="00B86702" w:rsidP="00F07FDE">
            <w:pPr>
              <w:rPr>
                <w:rFonts w:ascii="Arial" w:hAnsi="Arial" w:cs="Arial"/>
                <w:sz w:val="32"/>
                <w:szCs w:val="42"/>
              </w:rPr>
            </w:pPr>
          </w:p>
          <w:p w:rsidR="00B86702" w:rsidRPr="00F94C2B" w:rsidRDefault="00B86702" w:rsidP="00F07FDE">
            <w:pPr>
              <w:rPr>
                <w:rFonts w:ascii="Arial" w:hAnsi="Arial" w:cs="Arial"/>
                <w:sz w:val="32"/>
                <w:szCs w:val="42"/>
              </w:rPr>
            </w:pPr>
          </w:p>
          <w:p w:rsidR="00B86702" w:rsidRPr="00F94C2B" w:rsidRDefault="00B86702" w:rsidP="00F07FDE">
            <w:pPr>
              <w:rPr>
                <w:rFonts w:ascii="Arial" w:hAnsi="Arial" w:cs="Arial"/>
                <w:i/>
                <w:sz w:val="16"/>
                <w:szCs w:val="16"/>
              </w:rPr>
            </w:pPr>
            <w:r w:rsidRPr="00F94C2B">
              <w:rPr>
                <w:rFonts w:ascii="Arial" w:hAnsi="Arial" w:cs="Arial"/>
                <w:i/>
                <w:sz w:val="16"/>
                <w:szCs w:val="16"/>
              </w:rPr>
              <w:t xml:space="preserve">Les opinions exprimées et les arguments avancés dans cette note analytique demeurent sous l’entière responsabilité du rédacteur ainsi que du Centre d’études sur l’intégration et la mondialisation et n’engagent en rien ni ne reflètent ceux de la Fédération internationale des Coalitions pour la diversité culturelle. </w:t>
            </w:r>
          </w:p>
          <w:p w:rsidR="00B86702" w:rsidRPr="00F94C2B" w:rsidRDefault="00B86702" w:rsidP="00F07FDE">
            <w:pPr>
              <w:rPr>
                <w:rFonts w:ascii="Arial" w:hAnsi="Arial" w:cs="Arial"/>
                <w:sz w:val="32"/>
                <w:szCs w:val="42"/>
              </w:rPr>
            </w:pPr>
          </w:p>
        </w:tc>
      </w:tr>
    </w:tbl>
    <w:p w:rsidR="00B86702" w:rsidRPr="00F94C2B" w:rsidRDefault="00B86702" w:rsidP="00B86702">
      <w:pPr>
        <w:rPr>
          <w:rFonts w:ascii="Arial" w:hAnsi="Arial" w:cs="Arial"/>
          <w:sz w:val="32"/>
          <w:szCs w:val="42"/>
        </w:rPr>
      </w:pPr>
    </w:p>
    <w:p w:rsidR="007E3ECD" w:rsidRPr="00B86702" w:rsidRDefault="007E3ECD"/>
    <w:sectPr w:rsidR="007E3ECD" w:rsidRPr="00B86702" w:rsidSect="009B5968">
      <w:headerReference w:type="default" r:id="rId26"/>
      <w:footerReference w:type="even" r:id="rId27"/>
      <w:footerReference w:type="default" r:id="rId28"/>
      <w:pgSz w:w="12240" w:h="15840"/>
      <w:pgMar w:top="2140" w:right="1440" w:bottom="1440" w:left="1440" w:header="708" w:footer="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3D" w:rsidRDefault="000D7B3D">
      <w:r>
        <w:separator/>
      </w:r>
    </w:p>
  </w:endnote>
  <w:endnote w:type="continuationSeparator" w:id="0">
    <w:p w:rsidR="000D7B3D" w:rsidRDefault="000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LT Std 57 Cn">
    <w:altName w:val="Calibri"/>
    <w:panose1 w:val="00000000000000000000"/>
    <w:charset w:val="4D"/>
    <w:family w:val="swiss"/>
    <w:notTrueType/>
    <w:pitch w:val="variable"/>
    <w:sig w:usb0="00000003" w:usb1="00000000" w:usb2="00000000" w:usb3="00000000" w:csb0="00000001" w:csb1="00000000"/>
  </w:font>
  <w:font w:name="Levenim MT">
    <w:altName w:val="Arial"/>
    <w:charset w:val="B1"/>
    <w:family w:val="auto"/>
    <w:pitch w:val="variable"/>
    <w:sig w:usb0="00000801" w:usb1="00000000" w:usb2="00000000" w:usb3="00000000" w:csb0="0000002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5887059"/>
      <w:docPartObj>
        <w:docPartGallery w:val="Page Numbers (Bottom of Page)"/>
        <w:docPartUnique/>
      </w:docPartObj>
    </w:sdtPr>
    <w:sdtEndPr>
      <w:rPr>
        <w:rStyle w:val="PageNumber"/>
      </w:rPr>
    </w:sdtEndPr>
    <w:sdtContent>
      <w:p w:rsidR="009B5968" w:rsidRDefault="00152E5A" w:rsidP="009B59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5968" w:rsidRDefault="005A15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3487162"/>
      <w:docPartObj>
        <w:docPartGallery w:val="Page Numbers (Bottom of Page)"/>
        <w:docPartUnique/>
      </w:docPartObj>
    </w:sdtPr>
    <w:sdtEndPr>
      <w:rPr>
        <w:rStyle w:val="PageNumber"/>
      </w:rPr>
    </w:sdtEndPr>
    <w:sdtContent>
      <w:p w:rsidR="009B5968" w:rsidRDefault="00152E5A" w:rsidP="009B59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1571">
          <w:rPr>
            <w:rStyle w:val="PageNumber"/>
            <w:noProof/>
          </w:rPr>
          <w:t>3</w:t>
        </w:r>
        <w:r>
          <w:rPr>
            <w:rStyle w:val="PageNumber"/>
          </w:rPr>
          <w:fldChar w:fldCharType="end"/>
        </w:r>
      </w:p>
    </w:sdtContent>
  </w:sdt>
  <w:p w:rsidR="009B5968" w:rsidRDefault="005A15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3D" w:rsidRDefault="000D7B3D">
      <w:r>
        <w:separator/>
      </w:r>
    </w:p>
  </w:footnote>
  <w:footnote w:type="continuationSeparator" w:id="0">
    <w:p w:rsidR="000D7B3D" w:rsidRDefault="000D7B3D">
      <w:r>
        <w:continuationSeparator/>
      </w:r>
    </w:p>
  </w:footnote>
  <w:footnote w:id="1">
    <w:p w:rsidR="00C320FE" w:rsidRPr="000F5D41" w:rsidRDefault="00C320FE" w:rsidP="00C320FE">
      <w:pPr>
        <w:pStyle w:val="FootnoteText"/>
        <w:ind w:left="426" w:right="713"/>
        <w:jc w:val="both"/>
        <w:rPr>
          <w:rFonts w:ascii="Arial" w:hAnsi="Arial" w:cs="Arial"/>
          <w:sz w:val="18"/>
          <w:szCs w:val="18"/>
          <w:lang w:val="en-CA"/>
        </w:rPr>
      </w:pPr>
      <w:r w:rsidRPr="00C320FE">
        <w:rPr>
          <w:rStyle w:val="FootnoteReference"/>
          <w:rFonts w:ascii="Arial" w:hAnsi="Arial" w:cs="Arial"/>
          <w:sz w:val="18"/>
          <w:szCs w:val="18"/>
        </w:rPr>
        <w:footnoteRef/>
      </w:r>
      <w:r w:rsidRPr="000F5D41">
        <w:rPr>
          <w:rFonts w:ascii="Arial" w:hAnsi="Arial" w:cs="Arial"/>
          <w:sz w:val="18"/>
          <w:szCs w:val="18"/>
          <w:lang w:val="en-CA"/>
        </w:rPr>
        <w:t xml:space="preserve"> Costa</w:t>
      </w:r>
      <w:r w:rsidR="006D420C">
        <w:rPr>
          <w:rFonts w:ascii="Arial" w:hAnsi="Arial" w:cs="Arial"/>
          <w:sz w:val="18"/>
          <w:szCs w:val="18"/>
          <w:lang w:val="en-CA"/>
        </w:rPr>
        <w:t xml:space="preserve"> </w:t>
      </w:r>
      <w:r w:rsidRPr="000F5D41">
        <w:rPr>
          <w:rFonts w:ascii="Arial" w:hAnsi="Arial" w:cs="Arial"/>
          <w:sz w:val="18"/>
          <w:szCs w:val="18"/>
          <w:lang w:val="en-CA"/>
        </w:rPr>
        <w:t xml:space="preserve">Rica, Guatemala, Honduras, Nicaragua, Salvador.  </w:t>
      </w:r>
    </w:p>
  </w:footnote>
  <w:footnote w:id="2">
    <w:p w:rsidR="00C320FE" w:rsidRPr="00C320FE" w:rsidRDefault="00C320FE" w:rsidP="00C320FE">
      <w:pPr>
        <w:pStyle w:val="FootnoteText"/>
        <w:ind w:left="426"/>
        <w:rPr>
          <w:rFonts w:ascii="Arial" w:hAnsi="Arial" w:cs="Arial"/>
          <w:sz w:val="18"/>
          <w:szCs w:val="18"/>
          <w:lang w:val="en-CA"/>
        </w:rPr>
      </w:pPr>
      <w:r w:rsidRPr="00C320FE">
        <w:rPr>
          <w:rStyle w:val="FootnoteReference"/>
          <w:rFonts w:ascii="Arial" w:hAnsi="Arial" w:cs="Arial"/>
          <w:sz w:val="18"/>
          <w:szCs w:val="18"/>
        </w:rPr>
        <w:footnoteRef/>
      </w:r>
      <w:r w:rsidRPr="00C320FE">
        <w:rPr>
          <w:rFonts w:ascii="Arial" w:hAnsi="Arial" w:cs="Arial"/>
          <w:sz w:val="18"/>
          <w:szCs w:val="18"/>
          <w:lang w:val="en-CA"/>
        </w:rPr>
        <w:t xml:space="preserve"> The Southern African Development Community gather</w:t>
      </w:r>
      <w:r>
        <w:rPr>
          <w:rFonts w:ascii="Arial" w:hAnsi="Arial" w:cs="Arial"/>
          <w:sz w:val="18"/>
          <w:szCs w:val="18"/>
          <w:lang w:val="en-CA"/>
        </w:rPr>
        <w:t>s</w:t>
      </w:r>
      <w:r w:rsidRPr="00C320FE">
        <w:rPr>
          <w:rFonts w:ascii="Arial" w:hAnsi="Arial" w:cs="Arial"/>
          <w:sz w:val="18"/>
          <w:szCs w:val="18"/>
          <w:lang w:val="en-CA"/>
        </w:rPr>
        <w:t xml:space="preserve"> the following countries: Botswana, Lesotho, Mozambique, Namibia, South Africa and </w:t>
      </w:r>
      <w:proofErr w:type="spellStart"/>
      <w:r w:rsidRPr="00C320FE">
        <w:rPr>
          <w:rFonts w:ascii="Arial" w:hAnsi="Arial" w:cs="Arial"/>
          <w:sz w:val="18"/>
          <w:szCs w:val="18"/>
          <w:lang w:val="en-CA"/>
        </w:rPr>
        <w:t>Eswatini</w:t>
      </w:r>
      <w:proofErr w:type="spellEnd"/>
      <w:r w:rsidRPr="00C320FE">
        <w:rPr>
          <w:rFonts w:ascii="Arial" w:hAnsi="Arial" w:cs="Arial"/>
          <w:sz w:val="18"/>
          <w:szCs w:val="18"/>
          <w:lang w:val="en-CA"/>
        </w:rPr>
        <w:t xml:space="preserve"> (formerly Swaziland).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68" w:rsidRDefault="00152E5A" w:rsidP="009B5968">
    <w:pPr>
      <w:pStyle w:val="Header"/>
      <w:ind w:left="426" w:right="1138"/>
      <w:jc w:val="center"/>
    </w:pPr>
    <w:r>
      <w:rPr>
        <w:noProof/>
        <w:lang w:val="en-US"/>
      </w:rPr>
      <w:drawing>
        <wp:inline distT="0" distB="0" distL="0" distR="0" wp14:anchorId="497CC1E6" wp14:editId="52276D32">
          <wp:extent cx="1412240" cy="568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dc.png"/>
                  <pic:cNvPicPr/>
                </pic:nvPicPr>
                <pic:blipFill>
                  <a:blip r:embed="rId1">
                    <a:extLst>
                      <a:ext uri="{28A0092B-C50C-407E-A947-70E740481C1C}">
                        <a14:useLocalDpi xmlns:a14="http://schemas.microsoft.com/office/drawing/2010/main" val="0"/>
                      </a:ext>
                    </a:extLst>
                  </a:blip>
                  <a:stretch>
                    <a:fillRect/>
                  </a:stretch>
                </pic:blipFill>
                <pic:spPr>
                  <a:xfrm>
                    <a:off x="0" y="0"/>
                    <a:ext cx="1412240" cy="568960"/>
                  </a:xfrm>
                  <a:prstGeom prst="rect">
                    <a:avLst/>
                  </a:prstGeom>
                </pic:spPr>
              </pic:pic>
            </a:graphicData>
          </a:graphic>
        </wp:inline>
      </w:drawing>
    </w:r>
    <w:r>
      <w:rPr>
        <w:noProof/>
        <w:lang w:val="en-US"/>
      </w:rPr>
      <w:drawing>
        <wp:inline distT="0" distB="0" distL="0" distR="0" wp14:anchorId="4D94EC6F" wp14:editId="653F2CEC">
          <wp:extent cx="873760" cy="5715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chargé (2).jpeg"/>
                  <pic:cNvPicPr/>
                </pic:nvPicPr>
                <pic:blipFill>
                  <a:blip r:embed="rId2">
                    <a:extLst>
                      <a:ext uri="{28A0092B-C50C-407E-A947-70E740481C1C}">
                        <a14:useLocalDpi xmlns:a14="http://schemas.microsoft.com/office/drawing/2010/main" val="0"/>
                      </a:ext>
                    </a:extLst>
                  </a:blip>
                  <a:stretch>
                    <a:fillRect/>
                  </a:stretch>
                </pic:blipFill>
                <pic:spPr>
                  <a:xfrm>
                    <a:off x="0" y="0"/>
                    <a:ext cx="873760" cy="571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317"/>
    <w:multiLevelType w:val="hybridMultilevel"/>
    <w:tmpl w:val="CB44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2356F"/>
    <w:rsid w:val="00045EDE"/>
    <w:rsid w:val="0006305E"/>
    <w:rsid w:val="000672D5"/>
    <w:rsid w:val="00087728"/>
    <w:rsid w:val="00093366"/>
    <w:rsid w:val="000B04DD"/>
    <w:rsid w:val="000D7B3D"/>
    <w:rsid w:val="000F5D41"/>
    <w:rsid w:val="001068E6"/>
    <w:rsid w:val="00113165"/>
    <w:rsid w:val="00127441"/>
    <w:rsid w:val="00134120"/>
    <w:rsid w:val="001456E5"/>
    <w:rsid w:val="00152E5A"/>
    <w:rsid w:val="00155138"/>
    <w:rsid w:val="0017543D"/>
    <w:rsid w:val="001770ED"/>
    <w:rsid w:val="001A7DFD"/>
    <w:rsid w:val="001C3EE9"/>
    <w:rsid w:val="001D5CCC"/>
    <w:rsid w:val="001E03F9"/>
    <w:rsid w:val="001F629D"/>
    <w:rsid w:val="0021630A"/>
    <w:rsid w:val="00217FEA"/>
    <w:rsid w:val="0025652A"/>
    <w:rsid w:val="0026746B"/>
    <w:rsid w:val="00293192"/>
    <w:rsid w:val="002A5A59"/>
    <w:rsid w:val="002C2697"/>
    <w:rsid w:val="002E074A"/>
    <w:rsid w:val="002E7AB1"/>
    <w:rsid w:val="0031153D"/>
    <w:rsid w:val="003613A5"/>
    <w:rsid w:val="00370CE2"/>
    <w:rsid w:val="003817A6"/>
    <w:rsid w:val="003946ED"/>
    <w:rsid w:val="00396FDB"/>
    <w:rsid w:val="003A5CD1"/>
    <w:rsid w:val="003B47DE"/>
    <w:rsid w:val="003B517A"/>
    <w:rsid w:val="003C5A6A"/>
    <w:rsid w:val="003C726E"/>
    <w:rsid w:val="003D68BC"/>
    <w:rsid w:val="003E05AB"/>
    <w:rsid w:val="004074A3"/>
    <w:rsid w:val="00425197"/>
    <w:rsid w:val="00452C26"/>
    <w:rsid w:val="004576E9"/>
    <w:rsid w:val="004602D7"/>
    <w:rsid w:val="00470D0D"/>
    <w:rsid w:val="00490BB1"/>
    <w:rsid w:val="004931C7"/>
    <w:rsid w:val="004A2E6E"/>
    <w:rsid w:val="004C30DC"/>
    <w:rsid w:val="00517BAA"/>
    <w:rsid w:val="005339F3"/>
    <w:rsid w:val="00537E1A"/>
    <w:rsid w:val="00551554"/>
    <w:rsid w:val="00551DB3"/>
    <w:rsid w:val="00561E0B"/>
    <w:rsid w:val="00581B9E"/>
    <w:rsid w:val="005A1571"/>
    <w:rsid w:val="005A29B1"/>
    <w:rsid w:val="005D3827"/>
    <w:rsid w:val="005D6B3B"/>
    <w:rsid w:val="005E7622"/>
    <w:rsid w:val="00601411"/>
    <w:rsid w:val="00613546"/>
    <w:rsid w:val="00631533"/>
    <w:rsid w:val="00667942"/>
    <w:rsid w:val="006737AD"/>
    <w:rsid w:val="00692B75"/>
    <w:rsid w:val="00696C98"/>
    <w:rsid w:val="006A05EE"/>
    <w:rsid w:val="006D420C"/>
    <w:rsid w:val="006D61AF"/>
    <w:rsid w:val="006D701E"/>
    <w:rsid w:val="006E5C98"/>
    <w:rsid w:val="00710040"/>
    <w:rsid w:val="00710E96"/>
    <w:rsid w:val="00712EFB"/>
    <w:rsid w:val="007218D9"/>
    <w:rsid w:val="00725060"/>
    <w:rsid w:val="007279B1"/>
    <w:rsid w:val="00734D9B"/>
    <w:rsid w:val="00742B3E"/>
    <w:rsid w:val="00797D31"/>
    <w:rsid w:val="007C6B04"/>
    <w:rsid w:val="007E3ECD"/>
    <w:rsid w:val="007F2DE6"/>
    <w:rsid w:val="00804029"/>
    <w:rsid w:val="00812D01"/>
    <w:rsid w:val="00824F7E"/>
    <w:rsid w:val="008327E7"/>
    <w:rsid w:val="008550AF"/>
    <w:rsid w:val="00870A0E"/>
    <w:rsid w:val="0089499D"/>
    <w:rsid w:val="00895D0B"/>
    <w:rsid w:val="008A08D0"/>
    <w:rsid w:val="008B172E"/>
    <w:rsid w:val="008C170B"/>
    <w:rsid w:val="008C36B5"/>
    <w:rsid w:val="008D5C61"/>
    <w:rsid w:val="008E11FE"/>
    <w:rsid w:val="0090633A"/>
    <w:rsid w:val="009349ED"/>
    <w:rsid w:val="00945025"/>
    <w:rsid w:val="00953B48"/>
    <w:rsid w:val="0096377C"/>
    <w:rsid w:val="00976469"/>
    <w:rsid w:val="0098543D"/>
    <w:rsid w:val="0099521F"/>
    <w:rsid w:val="009A3773"/>
    <w:rsid w:val="009D6095"/>
    <w:rsid w:val="009F23F6"/>
    <w:rsid w:val="00A13393"/>
    <w:rsid w:val="00A42A2E"/>
    <w:rsid w:val="00A4604C"/>
    <w:rsid w:val="00A81C0C"/>
    <w:rsid w:val="00A82190"/>
    <w:rsid w:val="00AB111D"/>
    <w:rsid w:val="00AC411C"/>
    <w:rsid w:val="00AC722B"/>
    <w:rsid w:val="00AE123B"/>
    <w:rsid w:val="00AE2623"/>
    <w:rsid w:val="00B11DB7"/>
    <w:rsid w:val="00B32469"/>
    <w:rsid w:val="00B359EE"/>
    <w:rsid w:val="00B443F2"/>
    <w:rsid w:val="00B64863"/>
    <w:rsid w:val="00B86702"/>
    <w:rsid w:val="00B92EB3"/>
    <w:rsid w:val="00B93ED1"/>
    <w:rsid w:val="00B97C2F"/>
    <w:rsid w:val="00BA433C"/>
    <w:rsid w:val="00BC4B9C"/>
    <w:rsid w:val="00C20223"/>
    <w:rsid w:val="00C242AC"/>
    <w:rsid w:val="00C320FE"/>
    <w:rsid w:val="00C60C71"/>
    <w:rsid w:val="00C85EA6"/>
    <w:rsid w:val="00CB20E9"/>
    <w:rsid w:val="00CD6371"/>
    <w:rsid w:val="00D16EDB"/>
    <w:rsid w:val="00D368F3"/>
    <w:rsid w:val="00D41987"/>
    <w:rsid w:val="00D5147D"/>
    <w:rsid w:val="00D5205A"/>
    <w:rsid w:val="00D5377A"/>
    <w:rsid w:val="00D6701E"/>
    <w:rsid w:val="00D73ED9"/>
    <w:rsid w:val="00D74631"/>
    <w:rsid w:val="00D95221"/>
    <w:rsid w:val="00DA50E0"/>
    <w:rsid w:val="00DB1402"/>
    <w:rsid w:val="00E07DB2"/>
    <w:rsid w:val="00E22E61"/>
    <w:rsid w:val="00E42A3B"/>
    <w:rsid w:val="00E72885"/>
    <w:rsid w:val="00E762E2"/>
    <w:rsid w:val="00EA2593"/>
    <w:rsid w:val="00EA5408"/>
    <w:rsid w:val="00EC4262"/>
    <w:rsid w:val="00ED26C6"/>
    <w:rsid w:val="00ED31E6"/>
    <w:rsid w:val="00ED6F6E"/>
    <w:rsid w:val="00ED7A62"/>
    <w:rsid w:val="00EF3104"/>
    <w:rsid w:val="00F41430"/>
    <w:rsid w:val="00F41897"/>
    <w:rsid w:val="00F85BF9"/>
    <w:rsid w:val="00FA093F"/>
    <w:rsid w:val="00FB758C"/>
    <w:rsid w:val="00FC7B28"/>
    <w:rsid w:val="00FD7B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702"/>
    <w:pPr>
      <w:tabs>
        <w:tab w:val="center" w:pos="4513"/>
        <w:tab w:val="right" w:pos="9026"/>
      </w:tabs>
    </w:pPr>
  </w:style>
  <w:style w:type="character" w:customStyle="1" w:styleId="FooterChar">
    <w:name w:val="Footer Char"/>
    <w:basedOn w:val="DefaultParagraphFont"/>
    <w:link w:val="Footer"/>
    <w:uiPriority w:val="99"/>
    <w:rsid w:val="00B86702"/>
  </w:style>
  <w:style w:type="character" w:styleId="PageNumber">
    <w:name w:val="page number"/>
    <w:basedOn w:val="DefaultParagraphFont"/>
    <w:uiPriority w:val="99"/>
    <w:semiHidden/>
    <w:unhideWhenUsed/>
    <w:rsid w:val="00B86702"/>
  </w:style>
  <w:style w:type="character" w:styleId="Hyperlink">
    <w:name w:val="Hyperlink"/>
    <w:basedOn w:val="DefaultParagraphFont"/>
    <w:uiPriority w:val="99"/>
    <w:unhideWhenUsed/>
    <w:rsid w:val="00B86702"/>
    <w:rPr>
      <w:color w:val="0563C1" w:themeColor="hyperlink"/>
      <w:u w:val="single"/>
    </w:rPr>
  </w:style>
  <w:style w:type="paragraph" w:styleId="ListParagraph">
    <w:name w:val="List Paragraph"/>
    <w:basedOn w:val="Normal"/>
    <w:uiPriority w:val="34"/>
    <w:qFormat/>
    <w:rsid w:val="00B86702"/>
    <w:pPr>
      <w:ind w:left="720"/>
      <w:contextualSpacing/>
    </w:pPr>
  </w:style>
  <w:style w:type="table" w:styleId="TableGrid">
    <w:name w:val="Table Grid"/>
    <w:basedOn w:val="TableNormal"/>
    <w:uiPriority w:val="39"/>
    <w:rsid w:val="00B8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702"/>
    <w:pPr>
      <w:tabs>
        <w:tab w:val="center" w:pos="4513"/>
        <w:tab w:val="right" w:pos="9026"/>
      </w:tabs>
    </w:pPr>
  </w:style>
  <w:style w:type="character" w:customStyle="1" w:styleId="HeaderChar">
    <w:name w:val="Header Char"/>
    <w:basedOn w:val="DefaultParagraphFont"/>
    <w:link w:val="Header"/>
    <w:uiPriority w:val="99"/>
    <w:rsid w:val="00B86702"/>
  </w:style>
  <w:style w:type="paragraph" w:customStyle="1" w:styleId="TexteNormalHyperlink">
    <w:name w:val="TexteNormalHyperlink"/>
    <w:basedOn w:val="Normal"/>
    <w:link w:val="TexteNormalHyperlinkChar"/>
    <w:autoRedefine/>
    <w:qFormat/>
    <w:rsid w:val="00B86702"/>
    <w:pPr>
      <w:spacing w:before="240"/>
      <w:ind w:right="20" w:firstLine="284"/>
      <w:jc w:val="both"/>
    </w:pPr>
    <w:rPr>
      <w:rFonts w:ascii="Univers LT Std 57 Cn" w:eastAsia="Times New Roman" w:hAnsi="Univers LT Std 57 Cn" w:cs="Levenim MT"/>
      <w:noProof/>
      <w:color w:val="00B050"/>
      <w:sz w:val="20"/>
      <w:szCs w:val="26"/>
      <w:u w:val="single" w:color="00B050"/>
      <w:lang w:val="fr-CA" w:eastAsia="fr-CA"/>
    </w:rPr>
  </w:style>
  <w:style w:type="character" w:customStyle="1" w:styleId="TexteNormalHyperlinkChar">
    <w:name w:val="TexteNormalHyperlink Char"/>
    <w:basedOn w:val="DefaultParagraphFont"/>
    <w:link w:val="TexteNormalHyperlink"/>
    <w:rsid w:val="00B86702"/>
    <w:rPr>
      <w:rFonts w:ascii="Univers LT Std 57 Cn" w:eastAsia="Times New Roman" w:hAnsi="Univers LT Std 57 Cn" w:cs="Levenim MT"/>
      <w:noProof/>
      <w:color w:val="00B050"/>
      <w:sz w:val="20"/>
      <w:szCs w:val="26"/>
      <w:u w:val="single" w:color="00B050"/>
      <w:lang w:val="fr-CA" w:eastAsia="fr-CA"/>
    </w:rPr>
  </w:style>
  <w:style w:type="character" w:customStyle="1" w:styleId="Mentionnonrsolue1">
    <w:name w:val="Mention non résolue1"/>
    <w:basedOn w:val="DefaultParagraphFont"/>
    <w:uiPriority w:val="99"/>
    <w:rsid w:val="005A29B1"/>
    <w:rPr>
      <w:color w:val="605E5C"/>
      <w:shd w:val="clear" w:color="auto" w:fill="E1DFDD"/>
    </w:rPr>
  </w:style>
  <w:style w:type="character" w:styleId="FollowedHyperlink">
    <w:name w:val="FollowedHyperlink"/>
    <w:basedOn w:val="DefaultParagraphFont"/>
    <w:uiPriority w:val="99"/>
    <w:semiHidden/>
    <w:unhideWhenUsed/>
    <w:rsid w:val="00AB111D"/>
    <w:rPr>
      <w:color w:val="954F72" w:themeColor="followedHyperlink"/>
      <w:u w:val="single"/>
    </w:rPr>
  </w:style>
  <w:style w:type="paragraph" w:styleId="FootnoteText">
    <w:name w:val="footnote text"/>
    <w:basedOn w:val="Normal"/>
    <w:link w:val="FootnoteTextChar"/>
    <w:uiPriority w:val="99"/>
    <w:semiHidden/>
    <w:unhideWhenUsed/>
    <w:rsid w:val="00C320FE"/>
    <w:rPr>
      <w:sz w:val="20"/>
      <w:szCs w:val="20"/>
    </w:rPr>
  </w:style>
  <w:style w:type="character" w:customStyle="1" w:styleId="FootnoteTextChar">
    <w:name w:val="Footnote Text Char"/>
    <w:basedOn w:val="DefaultParagraphFont"/>
    <w:link w:val="FootnoteText"/>
    <w:uiPriority w:val="99"/>
    <w:semiHidden/>
    <w:rsid w:val="00C320FE"/>
    <w:rPr>
      <w:sz w:val="20"/>
      <w:szCs w:val="20"/>
    </w:rPr>
  </w:style>
  <w:style w:type="character" w:styleId="FootnoteReference">
    <w:name w:val="footnote reference"/>
    <w:basedOn w:val="DefaultParagraphFont"/>
    <w:uiPriority w:val="99"/>
    <w:semiHidden/>
    <w:unhideWhenUsed/>
    <w:rsid w:val="00C320FE"/>
    <w:rPr>
      <w:vertAlign w:val="superscript"/>
    </w:rPr>
  </w:style>
  <w:style w:type="paragraph" w:styleId="BalloonText">
    <w:name w:val="Balloon Text"/>
    <w:basedOn w:val="Normal"/>
    <w:link w:val="BalloonTextChar"/>
    <w:uiPriority w:val="99"/>
    <w:semiHidden/>
    <w:unhideWhenUsed/>
    <w:rsid w:val="00ED31E6"/>
    <w:rPr>
      <w:rFonts w:ascii="Tahoma" w:hAnsi="Tahoma" w:cs="Tahoma"/>
      <w:sz w:val="16"/>
      <w:szCs w:val="16"/>
    </w:rPr>
  </w:style>
  <w:style w:type="character" w:customStyle="1" w:styleId="BalloonTextChar">
    <w:name w:val="Balloon Text Char"/>
    <w:basedOn w:val="DefaultParagraphFont"/>
    <w:link w:val="BalloonText"/>
    <w:uiPriority w:val="99"/>
    <w:semiHidden/>
    <w:rsid w:val="00ED31E6"/>
    <w:rPr>
      <w:rFonts w:ascii="Tahoma" w:hAnsi="Tahoma" w:cs="Tahoma"/>
      <w:sz w:val="16"/>
      <w:szCs w:val="16"/>
    </w:rPr>
  </w:style>
  <w:style w:type="character" w:customStyle="1" w:styleId="UnresolvedMention">
    <w:name w:val="Unresolved Mention"/>
    <w:basedOn w:val="DefaultParagraphFont"/>
    <w:uiPriority w:val="99"/>
    <w:semiHidden/>
    <w:unhideWhenUsed/>
    <w:rsid w:val="003613A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6702"/>
    <w:pPr>
      <w:tabs>
        <w:tab w:val="center" w:pos="4513"/>
        <w:tab w:val="right" w:pos="9026"/>
      </w:tabs>
    </w:pPr>
  </w:style>
  <w:style w:type="character" w:customStyle="1" w:styleId="FooterChar">
    <w:name w:val="Footer Char"/>
    <w:basedOn w:val="DefaultParagraphFont"/>
    <w:link w:val="Footer"/>
    <w:uiPriority w:val="99"/>
    <w:rsid w:val="00B86702"/>
  </w:style>
  <w:style w:type="character" w:styleId="PageNumber">
    <w:name w:val="page number"/>
    <w:basedOn w:val="DefaultParagraphFont"/>
    <w:uiPriority w:val="99"/>
    <w:semiHidden/>
    <w:unhideWhenUsed/>
    <w:rsid w:val="00B86702"/>
  </w:style>
  <w:style w:type="character" w:styleId="Hyperlink">
    <w:name w:val="Hyperlink"/>
    <w:basedOn w:val="DefaultParagraphFont"/>
    <w:uiPriority w:val="99"/>
    <w:unhideWhenUsed/>
    <w:rsid w:val="00B86702"/>
    <w:rPr>
      <w:color w:val="0563C1" w:themeColor="hyperlink"/>
      <w:u w:val="single"/>
    </w:rPr>
  </w:style>
  <w:style w:type="paragraph" w:styleId="ListParagraph">
    <w:name w:val="List Paragraph"/>
    <w:basedOn w:val="Normal"/>
    <w:uiPriority w:val="34"/>
    <w:qFormat/>
    <w:rsid w:val="00B86702"/>
    <w:pPr>
      <w:ind w:left="720"/>
      <w:contextualSpacing/>
    </w:pPr>
  </w:style>
  <w:style w:type="table" w:styleId="TableGrid">
    <w:name w:val="Table Grid"/>
    <w:basedOn w:val="TableNormal"/>
    <w:uiPriority w:val="39"/>
    <w:rsid w:val="00B8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6702"/>
    <w:pPr>
      <w:tabs>
        <w:tab w:val="center" w:pos="4513"/>
        <w:tab w:val="right" w:pos="9026"/>
      </w:tabs>
    </w:pPr>
  </w:style>
  <w:style w:type="character" w:customStyle="1" w:styleId="HeaderChar">
    <w:name w:val="Header Char"/>
    <w:basedOn w:val="DefaultParagraphFont"/>
    <w:link w:val="Header"/>
    <w:uiPriority w:val="99"/>
    <w:rsid w:val="00B86702"/>
  </w:style>
  <w:style w:type="paragraph" w:customStyle="1" w:styleId="TexteNormalHyperlink">
    <w:name w:val="TexteNormalHyperlink"/>
    <w:basedOn w:val="Normal"/>
    <w:link w:val="TexteNormalHyperlinkChar"/>
    <w:autoRedefine/>
    <w:qFormat/>
    <w:rsid w:val="00B86702"/>
    <w:pPr>
      <w:spacing w:before="240"/>
      <w:ind w:right="20" w:firstLine="284"/>
      <w:jc w:val="both"/>
    </w:pPr>
    <w:rPr>
      <w:rFonts w:ascii="Univers LT Std 57 Cn" w:eastAsia="Times New Roman" w:hAnsi="Univers LT Std 57 Cn" w:cs="Levenim MT"/>
      <w:noProof/>
      <w:color w:val="00B050"/>
      <w:sz w:val="20"/>
      <w:szCs w:val="26"/>
      <w:u w:val="single" w:color="00B050"/>
      <w:lang w:val="fr-CA" w:eastAsia="fr-CA"/>
    </w:rPr>
  </w:style>
  <w:style w:type="character" w:customStyle="1" w:styleId="TexteNormalHyperlinkChar">
    <w:name w:val="TexteNormalHyperlink Char"/>
    <w:basedOn w:val="DefaultParagraphFont"/>
    <w:link w:val="TexteNormalHyperlink"/>
    <w:rsid w:val="00B86702"/>
    <w:rPr>
      <w:rFonts w:ascii="Univers LT Std 57 Cn" w:eastAsia="Times New Roman" w:hAnsi="Univers LT Std 57 Cn" w:cs="Levenim MT"/>
      <w:noProof/>
      <w:color w:val="00B050"/>
      <w:sz w:val="20"/>
      <w:szCs w:val="26"/>
      <w:u w:val="single" w:color="00B050"/>
      <w:lang w:val="fr-CA" w:eastAsia="fr-CA"/>
    </w:rPr>
  </w:style>
  <w:style w:type="character" w:customStyle="1" w:styleId="Mentionnonrsolue1">
    <w:name w:val="Mention non résolue1"/>
    <w:basedOn w:val="DefaultParagraphFont"/>
    <w:uiPriority w:val="99"/>
    <w:rsid w:val="005A29B1"/>
    <w:rPr>
      <w:color w:val="605E5C"/>
      <w:shd w:val="clear" w:color="auto" w:fill="E1DFDD"/>
    </w:rPr>
  </w:style>
  <w:style w:type="character" w:styleId="FollowedHyperlink">
    <w:name w:val="FollowedHyperlink"/>
    <w:basedOn w:val="DefaultParagraphFont"/>
    <w:uiPriority w:val="99"/>
    <w:semiHidden/>
    <w:unhideWhenUsed/>
    <w:rsid w:val="00AB111D"/>
    <w:rPr>
      <w:color w:val="954F72" w:themeColor="followedHyperlink"/>
      <w:u w:val="single"/>
    </w:rPr>
  </w:style>
  <w:style w:type="paragraph" w:styleId="FootnoteText">
    <w:name w:val="footnote text"/>
    <w:basedOn w:val="Normal"/>
    <w:link w:val="FootnoteTextChar"/>
    <w:uiPriority w:val="99"/>
    <w:semiHidden/>
    <w:unhideWhenUsed/>
    <w:rsid w:val="00C320FE"/>
    <w:rPr>
      <w:sz w:val="20"/>
      <w:szCs w:val="20"/>
    </w:rPr>
  </w:style>
  <w:style w:type="character" w:customStyle="1" w:styleId="FootnoteTextChar">
    <w:name w:val="Footnote Text Char"/>
    <w:basedOn w:val="DefaultParagraphFont"/>
    <w:link w:val="FootnoteText"/>
    <w:uiPriority w:val="99"/>
    <w:semiHidden/>
    <w:rsid w:val="00C320FE"/>
    <w:rPr>
      <w:sz w:val="20"/>
      <w:szCs w:val="20"/>
    </w:rPr>
  </w:style>
  <w:style w:type="character" w:styleId="FootnoteReference">
    <w:name w:val="footnote reference"/>
    <w:basedOn w:val="DefaultParagraphFont"/>
    <w:uiPriority w:val="99"/>
    <w:semiHidden/>
    <w:unhideWhenUsed/>
    <w:rsid w:val="00C320FE"/>
    <w:rPr>
      <w:vertAlign w:val="superscript"/>
    </w:rPr>
  </w:style>
  <w:style w:type="paragraph" w:styleId="BalloonText">
    <w:name w:val="Balloon Text"/>
    <w:basedOn w:val="Normal"/>
    <w:link w:val="BalloonTextChar"/>
    <w:uiPriority w:val="99"/>
    <w:semiHidden/>
    <w:unhideWhenUsed/>
    <w:rsid w:val="00ED31E6"/>
    <w:rPr>
      <w:rFonts w:ascii="Tahoma" w:hAnsi="Tahoma" w:cs="Tahoma"/>
      <w:sz w:val="16"/>
      <w:szCs w:val="16"/>
    </w:rPr>
  </w:style>
  <w:style w:type="character" w:customStyle="1" w:styleId="BalloonTextChar">
    <w:name w:val="Balloon Text Char"/>
    <w:basedOn w:val="DefaultParagraphFont"/>
    <w:link w:val="BalloonText"/>
    <w:uiPriority w:val="99"/>
    <w:semiHidden/>
    <w:rsid w:val="00ED31E6"/>
    <w:rPr>
      <w:rFonts w:ascii="Tahoma" w:hAnsi="Tahoma" w:cs="Tahoma"/>
      <w:sz w:val="16"/>
      <w:szCs w:val="16"/>
    </w:rPr>
  </w:style>
  <w:style w:type="character" w:customStyle="1" w:styleId="UnresolvedMention">
    <w:name w:val="Unresolved Mention"/>
    <w:basedOn w:val="DefaultParagraphFont"/>
    <w:uiPriority w:val="99"/>
    <w:semiHidden/>
    <w:unhideWhenUsed/>
    <w:rsid w:val="0036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ade.ec.europa.eu/doclib/docs/2018/august/tradoc_157228.pdf" TargetMode="External"/><Relationship Id="rId20" Type="http://schemas.openxmlformats.org/officeDocument/2006/relationships/hyperlink" Target="http://trade.ec.europa.eu/doclib/press/index.cfm?id=2048" TargetMode="External"/><Relationship Id="rId21" Type="http://schemas.openxmlformats.org/officeDocument/2006/relationships/hyperlink" Target="http://data.consilium.europa.eu/doc/document/ST-7663-2018-ADD-1-DCL-1/en/pdf" TargetMode="External"/><Relationship Id="rId22" Type="http://schemas.openxmlformats.org/officeDocument/2006/relationships/hyperlink" Target="http://data.consilium.europa.eu/doc/document/ST-7661-2018-ADD-1-DCL-1/en/pdf" TargetMode="External"/><Relationship Id="rId23" Type="http://schemas.openxmlformats.org/officeDocument/2006/relationships/hyperlink" Target="mailto:ceim@uqam.ca" TargetMode="External"/><Relationship Id="rId24" Type="http://schemas.openxmlformats.org/officeDocument/2006/relationships/hyperlink" Target="http://www.ceim.uqam.ca" TargetMode="External"/><Relationship Id="rId25" Type="http://schemas.openxmlformats.org/officeDocument/2006/relationships/image" Target="media/image1.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rade.ec.europa.eu/doclib/docs/2018/august/tradoc_157228.pdf" TargetMode="External"/><Relationship Id="rId11" Type="http://schemas.openxmlformats.org/officeDocument/2006/relationships/hyperlink" Target="http://trade.ec.europa.eu/doclib/docs/2018/august/tradoc_157228.pdf" TargetMode="External"/><Relationship Id="rId12" Type="http://schemas.openxmlformats.org/officeDocument/2006/relationships/hyperlink" Target="http://trade.ec.europa.eu/doclib/docs/2018/august/tradoc_157228.pdf" TargetMode="External"/><Relationship Id="rId13" Type="http://schemas.openxmlformats.org/officeDocument/2006/relationships/hyperlink" Target="http://trade.ec.europa.eu/doclib/docs/2018/august/tradoc_157233.pdf" TargetMode="External"/><Relationship Id="rId14" Type="http://schemas.openxmlformats.org/officeDocument/2006/relationships/hyperlink" Target="http://trade.ec.europa.eu/doclib/press/index.cfm?id=2048" TargetMode="External"/><Relationship Id="rId15" Type="http://schemas.openxmlformats.org/officeDocument/2006/relationships/hyperlink" Target="https://trade.ec.europa.eu/doclib/docs/2019/june/tradoc_157964.pdf" TargetMode="External"/><Relationship Id="rId16" Type="http://schemas.openxmlformats.org/officeDocument/2006/relationships/hyperlink" Target="https://trade.ec.europa.eu/doclib/docs/2019/july/tradoc_158159.%20Services%20and%20Establishment.pdf" TargetMode="External"/><Relationship Id="rId17" Type="http://schemas.openxmlformats.org/officeDocument/2006/relationships/hyperlink" Target="https://trade.ec.europa.eu/doclib/docs/2019/september/tradoc_158329.pdf" TargetMode="External"/><Relationship Id="rId18" Type="http://schemas.openxmlformats.org/officeDocument/2006/relationships/hyperlink" Target="http://www.kluwerlawonline.com/abstract.php?id=EERR2020002" TargetMode="External"/><Relationship Id="rId19" Type="http://schemas.openxmlformats.org/officeDocument/2006/relationships/hyperlink" Target="https://trade.ec.europa.eu/doclib/press/index.cfm?id=168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de.ec.europa.eu/doclib/docs/2018/august/tradoc_157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10715</Characters>
  <Application>Microsoft Macintosh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Holly Aylett</cp:lastModifiedBy>
  <cp:revision>2</cp:revision>
  <dcterms:created xsi:type="dcterms:W3CDTF">2020-04-09T14:49:00Z</dcterms:created>
  <dcterms:modified xsi:type="dcterms:W3CDTF">2020-04-09T14:49:00Z</dcterms:modified>
</cp:coreProperties>
</file>